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F8B6">
      <w:pPr>
        <w:spacing w:line="800" w:lineRule="exact"/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lang w:val="en-US" w:eastAsia="zh-CN"/>
        </w:rPr>
        <w:t>“香港赛马会杯”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年粤港澳大湾区</w:t>
      </w:r>
    </w:p>
    <w:p w14:paraId="2F500A01">
      <w:pPr>
        <w:spacing w:line="800" w:lineRule="exact"/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跆拳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道比赛竞赛规程</w:t>
      </w:r>
    </w:p>
    <w:p w14:paraId="5DDF4C97">
      <w:pPr>
        <w:spacing w:line="360" w:lineRule="auto"/>
        <w:ind w:firstLine="643" w:firstLineChars="200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14:paraId="2280A867">
      <w:pPr>
        <w:widowControl/>
        <w:tabs>
          <w:tab w:val="left" w:pos="1260"/>
        </w:tabs>
        <w:spacing w:line="360" w:lineRule="auto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一、组织机构</w:t>
      </w:r>
    </w:p>
    <w:p w14:paraId="58F4BE5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指导单位：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中共广东省委港澳工作办公室</w:t>
      </w:r>
    </w:p>
    <w:p w14:paraId="5A355272">
      <w:pPr>
        <w:spacing w:line="360" w:lineRule="auto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广东省体育局</w:t>
      </w:r>
    </w:p>
    <w:p w14:paraId="1898E85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广东省体育总会</w:t>
      </w:r>
    </w:p>
    <w:p w14:paraId="020C49EA">
      <w:pPr>
        <w:widowControl/>
        <w:spacing w:line="360" w:lineRule="auto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香港地区体育会联会</w:t>
      </w:r>
    </w:p>
    <w:p w14:paraId="4E896605">
      <w:pPr>
        <w:widowControl/>
        <w:spacing w:line="360" w:lineRule="auto"/>
        <w:ind w:firstLine="2240" w:firstLineChars="700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中国澳门体育总会联合会</w:t>
      </w:r>
    </w:p>
    <w:p w14:paraId="24369647">
      <w:pPr>
        <w:spacing w:line="360" w:lineRule="auto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香港赛马会</w:t>
      </w:r>
    </w:p>
    <w:p w14:paraId="57883FD7">
      <w:pPr>
        <w:spacing w:line="360" w:lineRule="auto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广州市天河区文化广电旅游体育局</w:t>
      </w:r>
    </w:p>
    <w:p w14:paraId="3B395C24">
      <w:pPr>
        <w:pStyle w:val="2"/>
        <w:ind w:firstLine="6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主办单位：广东省社会体育和训练竞赛中心</w:t>
      </w:r>
    </w:p>
    <w:p w14:paraId="00E2710A">
      <w:pPr>
        <w:pStyle w:val="2"/>
        <w:ind w:firstLine="68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承办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广东省青少年跆拳道协会</w:t>
      </w:r>
    </w:p>
    <w:p w14:paraId="2F879A52">
      <w:pPr>
        <w:pStyle w:val="2"/>
        <w:ind w:firstLine="68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协办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广东外语外贸大学</w:t>
      </w:r>
    </w:p>
    <w:p w14:paraId="2681218B">
      <w:pPr>
        <w:widowControl/>
        <w:tabs>
          <w:tab w:val="left" w:pos="1260"/>
        </w:tabs>
        <w:spacing w:line="360" w:lineRule="auto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二、参加单位</w:t>
      </w:r>
    </w:p>
    <w:p w14:paraId="10040504">
      <w:pPr>
        <w:widowControl/>
        <w:tabs>
          <w:tab w:val="left" w:pos="1260"/>
        </w:tabs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粤港澳大湾区“9+2”城市的代表队或各级各类学校、俱乐部、社会团体或组织等。</w:t>
      </w:r>
    </w:p>
    <w:p w14:paraId="2A4B65A4">
      <w:pPr>
        <w:widowControl/>
        <w:tabs>
          <w:tab w:val="left" w:pos="1260"/>
        </w:tabs>
        <w:spacing w:line="360" w:lineRule="auto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三、竞赛项目</w:t>
      </w:r>
    </w:p>
    <w:p w14:paraId="6BB97B18"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（一）品势比赛（个人</w:t>
      </w:r>
      <w:r>
        <w:rPr>
          <w:rFonts w:hint="eastAsia" w:ascii="仿宋_GB2312" w:hAnsi="仿宋_GB2312" w:eastAsia="仿宋_GB2312"/>
          <w:sz w:val="32"/>
          <w:szCs w:val="32"/>
        </w:rPr>
        <w:t>公开组、精英组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；混双；团体）</w:t>
      </w:r>
    </w:p>
    <w:p w14:paraId="79E164C2"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（二）竞技比赛（个人）</w:t>
      </w:r>
    </w:p>
    <w:p w14:paraId="1F5C3C8D">
      <w:pPr>
        <w:spacing w:line="360" w:lineRule="auto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四、比赛时间、地点</w:t>
      </w:r>
    </w:p>
    <w:p w14:paraId="22E2FD72">
      <w:pPr>
        <w:widowControl/>
        <w:spacing w:line="360" w:lineRule="auto"/>
        <w:ind w:firstLine="640" w:firstLineChars="200"/>
        <w:jc w:val="left"/>
        <w:rPr>
          <w:rFonts w:hint="default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24-25日</w:t>
      </w:r>
    </w:p>
    <w:p w14:paraId="55AB11A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比赛地点：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广东外语外贸大学大学城校区体育馆</w:t>
      </w:r>
    </w:p>
    <w:p w14:paraId="1929A527">
      <w:pPr>
        <w:spacing w:line="360" w:lineRule="auto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五、参赛资格</w:t>
      </w:r>
    </w:p>
    <w:p w14:paraId="5D8A82EA"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参赛年龄（以身份证年龄参赛）</w:t>
      </w:r>
    </w:p>
    <w:p w14:paraId="3B22D7F1"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青年组：200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年至200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年出生者；</w:t>
      </w:r>
    </w:p>
    <w:p w14:paraId="5BD17CBD"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少年组：20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年至201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年出生者；</w:t>
      </w:r>
    </w:p>
    <w:p w14:paraId="6ED4ABA1"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少儿组：201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年至201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年出生者；</w:t>
      </w:r>
    </w:p>
    <w:p w14:paraId="0D194206"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儿童组：201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年至201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年出生者；</w:t>
      </w:r>
    </w:p>
    <w:p w14:paraId="09C9CE89"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幼儿组：201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年至201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年出生者。</w:t>
      </w:r>
    </w:p>
    <w:p w14:paraId="60BCD56B"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国内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运动员须凭有效中华人民共和国居民身份证参赛，港澳运动员凭有效港澳居民来往内地通行证、港澳居民居住证参赛。</w:t>
      </w:r>
    </w:p>
    <w:p w14:paraId="31EBD85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（三）参赛运动员须持有县级以上（含县级）医务部门检查身体健康证明；各参赛单位必须在所在地为所有参赛运动员购买交通往返保险（含报到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、离会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交通往返途中）的“人身意外伤害保险”，并向大会交验保险原始凭证及健康证明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；如未能提供两项凭证者，不予参赛。</w:t>
      </w:r>
    </w:p>
    <w:p w14:paraId="4555141D">
      <w:pPr>
        <w:widowControl/>
        <w:spacing w:line="360" w:lineRule="auto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六、竞赛办法</w:t>
      </w:r>
    </w:p>
    <w:p w14:paraId="40DEB05E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（一）品势项目</w:t>
      </w:r>
    </w:p>
    <w:p w14:paraId="26F8C7AC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1.个人（公开组、精英组）、混双、团体品势比赛内容在指定品势中进行比赛；</w:t>
      </w:r>
    </w:p>
    <w:p w14:paraId="157D9AA7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2.不足2人/队的级别取消该组别比赛；</w:t>
      </w:r>
    </w:p>
    <w:p w14:paraId="424CA55E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3.同1名运动员只能选择个人品势（公开组、精英组）、混双品势、团体品势的其中1项组别参加比赛，不得同时报名参赛；</w:t>
      </w:r>
    </w:p>
    <w:p w14:paraId="2E6061B4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4.各组别限报2人（或2队），具体要求如下：</w:t>
      </w:r>
    </w:p>
    <w:p w14:paraId="428E215F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（1）个人品势（公开组、精英组）：分别设男、女子；</w:t>
      </w:r>
    </w:p>
    <w:p w14:paraId="0220942D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（2）混双品势：男、女混合2人组成；</w:t>
      </w:r>
    </w:p>
    <w:p w14:paraId="7D87372C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（3）团体品势：不分男女子组，由3人组成。</w:t>
      </w:r>
    </w:p>
    <w:p w14:paraId="47D6D29A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5.指定品势：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3654"/>
        <w:gridCol w:w="2184"/>
      </w:tblGrid>
      <w:tr w14:paraId="6B3E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 w14:paraId="60719AB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年龄组别</w:t>
            </w:r>
          </w:p>
        </w:tc>
        <w:tc>
          <w:tcPr>
            <w:tcW w:w="3654" w:type="dxa"/>
            <w:vAlign w:val="center"/>
          </w:tcPr>
          <w:p w14:paraId="5F7A743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比赛组别</w:t>
            </w:r>
          </w:p>
        </w:tc>
        <w:tc>
          <w:tcPr>
            <w:tcW w:w="2184" w:type="dxa"/>
            <w:vAlign w:val="center"/>
          </w:tcPr>
          <w:p w14:paraId="02F89E9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指定品势</w:t>
            </w:r>
          </w:p>
        </w:tc>
      </w:tr>
      <w:tr w14:paraId="3A48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restart"/>
            <w:vAlign w:val="center"/>
          </w:tcPr>
          <w:p w14:paraId="76FB45C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青年组</w:t>
            </w:r>
          </w:p>
        </w:tc>
        <w:tc>
          <w:tcPr>
            <w:tcW w:w="3654" w:type="dxa"/>
            <w:vAlign w:val="center"/>
          </w:tcPr>
          <w:p w14:paraId="38E2C67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个人（男、女）公开组</w:t>
            </w:r>
          </w:p>
        </w:tc>
        <w:tc>
          <w:tcPr>
            <w:tcW w:w="2184" w:type="dxa"/>
            <w:vAlign w:val="center"/>
          </w:tcPr>
          <w:p w14:paraId="2BB274D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28C6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5B1BEF8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6265513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个人（男、女）精英组</w:t>
            </w:r>
          </w:p>
        </w:tc>
        <w:tc>
          <w:tcPr>
            <w:tcW w:w="2184" w:type="dxa"/>
            <w:vAlign w:val="center"/>
          </w:tcPr>
          <w:p w14:paraId="1FD6B3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金刚</w:t>
            </w:r>
          </w:p>
        </w:tc>
      </w:tr>
      <w:tr w14:paraId="16C6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77540BC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6D017E7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混双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restart"/>
            <w:vAlign w:val="center"/>
          </w:tcPr>
          <w:p w14:paraId="3BA605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高丽</w:t>
            </w:r>
          </w:p>
        </w:tc>
      </w:tr>
      <w:tr w14:paraId="16D2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385495C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7AF52FF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团体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continue"/>
            <w:vAlign w:val="center"/>
          </w:tcPr>
          <w:p w14:paraId="5200C1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29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restart"/>
            <w:vAlign w:val="center"/>
          </w:tcPr>
          <w:p w14:paraId="1E03CE8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少年组</w:t>
            </w:r>
          </w:p>
        </w:tc>
        <w:tc>
          <w:tcPr>
            <w:tcW w:w="3654" w:type="dxa"/>
            <w:vAlign w:val="center"/>
          </w:tcPr>
          <w:p w14:paraId="264EF30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个人（男、女）公开组</w:t>
            </w:r>
          </w:p>
        </w:tc>
        <w:tc>
          <w:tcPr>
            <w:tcW w:w="2184" w:type="dxa"/>
            <w:vAlign w:val="center"/>
          </w:tcPr>
          <w:p w14:paraId="64F51DF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575F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0832355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7F02A38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个人（男、女）精英组</w:t>
            </w:r>
          </w:p>
        </w:tc>
        <w:tc>
          <w:tcPr>
            <w:tcW w:w="2184" w:type="dxa"/>
            <w:vAlign w:val="center"/>
          </w:tcPr>
          <w:p w14:paraId="60D7400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太极8章</w:t>
            </w:r>
          </w:p>
        </w:tc>
      </w:tr>
      <w:tr w14:paraId="48D6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50D0CC9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75D0681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混双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restart"/>
            <w:vAlign w:val="center"/>
          </w:tcPr>
          <w:p w14:paraId="7E7D1FB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025B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47FF850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55DA0E2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团体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continue"/>
            <w:vAlign w:val="center"/>
          </w:tcPr>
          <w:p w14:paraId="029078E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8F7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restart"/>
            <w:vAlign w:val="center"/>
          </w:tcPr>
          <w:p w14:paraId="2DEE8BD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少儿组</w:t>
            </w:r>
          </w:p>
        </w:tc>
        <w:tc>
          <w:tcPr>
            <w:tcW w:w="3654" w:type="dxa"/>
            <w:vAlign w:val="center"/>
          </w:tcPr>
          <w:p w14:paraId="06A6C05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个人（男、女）公开组</w:t>
            </w:r>
          </w:p>
        </w:tc>
        <w:tc>
          <w:tcPr>
            <w:tcW w:w="2184" w:type="dxa"/>
            <w:vAlign w:val="center"/>
          </w:tcPr>
          <w:p w14:paraId="6131E1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6DED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5CBC349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07D46F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个人（男、女）精英组</w:t>
            </w:r>
          </w:p>
        </w:tc>
        <w:tc>
          <w:tcPr>
            <w:tcW w:w="2184" w:type="dxa"/>
            <w:vAlign w:val="center"/>
          </w:tcPr>
          <w:p w14:paraId="6A341F2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4A26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0311670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4E81B12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混双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restart"/>
            <w:vAlign w:val="center"/>
          </w:tcPr>
          <w:p w14:paraId="3C53DD4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525C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4CD4E5A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1F36C0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团体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continue"/>
            <w:vAlign w:val="center"/>
          </w:tcPr>
          <w:p w14:paraId="59FF46E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0D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restart"/>
            <w:vAlign w:val="center"/>
          </w:tcPr>
          <w:p w14:paraId="5C5DC36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儿童组</w:t>
            </w:r>
          </w:p>
        </w:tc>
        <w:tc>
          <w:tcPr>
            <w:tcW w:w="3654" w:type="dxa"/>
            <w:vAlign w:val="center"/>
          </w:tcPr>
          <w:p w14:paraId="65A51C9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个人（男、女）公开组</w:t>
            </w:r>
          </w:p>
        </w:tc>
        <w:tc>
          <w:tcPr>
            <w:tcW w:w="2184" w:type="dxa"/>
            <w:vAlign w:val="center"/>
          </w:tcPr>
          <w:p w14:paraId="2CE933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5C1C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3F39583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556EE9E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个人（男、女）精英组</w:t>
            </w:r>
          </w:p>
        </w:tc>
        <w:tc>
          <w:tcPr>
            <w:tcW w:w="2184" w:type="dxa"/>
            <w:vAlign w:val="center"/>
          </w:tcPr>
          <w:p w14:paraId="13A3D53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203F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5927E9D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211ED9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混双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restart"/>
            <w:vAlign w:val="center"/>
          </w:tcPr>
          <w:p w14:paraId="0F15937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5E5E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01052EB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168641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团体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continue"/>
            <w:vAlign w:val="center"/>
          </w:tcPr>
          <w:p w14:paraId="20BE679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04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restart"/>
            <w:vAlign w:val="center"/>
          </w:tcPr>
          <w:p w14:paraId="014D4A0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3654" w:type="dxa"/>
            <w:vAlign w:val="center"/>
          </w:tcPr>
          <w:p w14:paraId="1FDD90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个人（男、女）公开组</w:t>
            </w:r>
          </w:p>
        </w:tc>
        <w:tc>
          <w:tcPr>
            <w:tcW w:w="2184" w:type="dxa"/>
            <w:vAlign w:val="center"/>
          </w:tcPr>
          <w:p w14:paraId="12D41A7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太极1章</w:t>
            </w:r>
          </w:p>
        </w:tc>
      </w:tr>
      <w:tr w14:paraId="6E56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1652DFF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6C8547E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个人（男、女）精英组</w:t>
            </w:r>
          </w:p>
        </w:tc>
        <w:tc>
          <w:tcPr>
            <w:tcW w:w="2184" w:type="dxa"/>
            <w:vAlign w:val="center"/>
          </w:tcPr>
          <w:p w14:paraId="6567A36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18DB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7F8AC8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5E691D2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混双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restart"/>
            <w:vAlign w:val="center"/>
          </w:tcPr>
          <w:p w14:paraId="4CC7F5B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太极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章</w:t>
            </w:r>
          </w:p>
        </w:tc>
      </w:tr>
      <w:tr w14:paraId="4669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Merge w:val="continue"/>
            <w:vAlign w:val="center"/>
          </w:tcPr>
          <w:p w14:paraId="1B07261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654" w:type="dxa"/>
            <w:vAlign w:val="center"/>
          </w:tcPr>
          <w:p w14:paraId="1571132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团体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品势</w:t>
            </w:r>
          </w:p>
        </w:tc>
        <w:tc>
          <w:tcPr>
            <w:tcW w:w="2184" w:type="dxa"/>
            <w:vMerge w:val="continue"/>
            <w:vAlign w:val="center"/>
          </w:tcPr>
          <w:p w14:paraId="1ACC7F6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D1BBC7E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（二）竞技项目</w:t>
      </w:r>
    </w:p>
    <w:p w14:paraId="2126FF0D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1.竞技比赛使用电子护具，采用单败淘汰赛制，执行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中国跆拳道协会</w:t>
      </w:r>
      <w:r>
        <w:rPr>
          <w:rFonts w:hint="eastAsia" w:ascii="仿宋_GB2312" w:hAnsi="仿宋_GB2312" w:eastAsia="仿宋_GB2312"/>
          <w:sz w:val="32"/>
          <w:szCs w:val="32"/>
        </w:rPr>
        <w:t>最新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/>
          <w:sz w:val="32"/>
          <w:szCs w:val="32"/>
        </w:rPr>
        <w:t>竞技竞赛规则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</w:p>
    <w:p w14:paraId="6FFD5784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2.获得全国运动会、全国锦标赛、全国青年赛、全国少年赛等国家级赛事前八名和省运会、省锦标赛前三名的优秀运动员不可报名参赛，一经发现，取消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该名运动员</w:t>
      </w:r>
      <w:r>
        <w:rPr>
          <w:rFonts w:hint="eastAsia" w:ascii="仿宋_GB2312" w:hAnsi="仿宋_GB2312" w:eastAsia="仿宋_GB2312"/>
          <w:sz w:val="32"/>
          <w:szCs w:val="32"/>
        </w:rPr>
        <w:t>成绩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并通报批评该名运动员所在单位（如赛前或赛中发现，其成绩进行递补；如赛后发现，其成绩不进行递补）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</w:p>
    <w:p w14:paraId="36F4244B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3.个人竞技比赛：</w:t>
      </w:r>
    </w:p>
    <w:p w14:paraId="147AA1E8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（1）比赛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赛制补充通知中确定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</w:p>
    <w:p w14:paraId="3B077E41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（2）各级别人数不足2人时，合并或取消该组别比赛；</w:t>
      </w:r>
    </w:p>
    <w:p w14:paraId="03A1B716">
      <w:pPr>
        <w:widowControl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（3）个人竞技比赛各级别限报2人参赛；</w:t>
      </w:r>
    </w:p>
    <w:p w14:paraId="3FABEA86"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（4）</w:t>
      </w:r>
      <w:r>
        <w:rPr>
          <w:rFonts w:hint="eastAsia" w:ascii="仿宋_GB2312" w:hAnsi="仿宋_GB2312" w:eastAsia="仿宋_GB2312"/>
          <w:sz w:val="32"/>
          <w:szCs w:val="32"/>
        </w:rPr>
        <w:t>个人竞技比赛级别如下：</w:t>
      </w:r>
    </w:p>
    <w:p w14:paraId="133E0544"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a.青年组：</w:t>
      </w:r>
    </w:p>
    <w:tbl>
      <w:tblPr>
        <w:tblStyle w:val="14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76"/>
        <w:gridCol w:w="976"/>
        <w:gridCol w:w="976"/>
        <w:gridCol w:w="976"/>
        <w:gridCol w:w="976"/>
        <w:gridCol w:w="976"/>
      </w:tblGrid>
      <w:tr w14:paraId="5AC14A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3CF566B8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男子</w:t>
            </w:r>
          </w:p>
        </w:tc>
        <w:tc>
          <w:tcPr>
            <w:tcW w:w="976" w:type="dxa"/>
            <w:vAlign w:val="center"/>
          </w:tcPr>
          <w:p w14:paraId="2095F284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-42kg</w:t>
            </w:r>
          </w:p>
        </w:tc>
        <w:tc>
          <w:tcPr>
            <w:tcW w:w="976" w:type="dxa"/>
            <w:vAlign w:val="center"/>
          </w:tcPr>
          <w:p w14:paraId="43158A7A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-45kg</w:t>
            </w:r>
          </w:p>
        </w:tc>
        <w:tc>
          <w:tcPr>
            <w:tcW w:w="976" w:type="dxa"/>
            <w:vAlign w:val="center"/>
          </w:tcPr>
          <w:p w14:paraId="4634DCC2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-48kg</w:t>
            </w:r>
          </w:p>
        </w:tc>
        <w:tc>
          <w:tcPr>
            <w:tcW w:w="976" w:type="dxa"/>
            <w:vAlign w:val="center"/>
          </w:tcPr>
          <w:p w14:paraId="78D98ACA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-52kg</w:t>
            </w:r>
          </w:p>
        </w:tc>
        <w:tc>
          <w:tcPr>
            <w:tcW w:w="976" w:type="dxa"/>
            <w:vAlign w:val="center"/>
          </w:tcPr>
          <w:p w14:paraId="6EF8874B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-56kg</w:t>
            </w:r>
          </w:p>
        </w:tc>
        <w:tc>
          <w:tcPr>
            <w:tcW w:w="976" w:type="dxa"/>
            <w:vAlign w:val="center"/>
          </w:tcPr>
          <w:p w14:paraId="2D503F3B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+56kg</w:t>
            </w:r>
          </w:p>
        </w:tc>
      </w:tr>
      <w:tr w14:paraId="0D79B3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5679AF67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女子</w:t>
            </w:r>
          </w:p>
        </w:tc>
        <w:tc>
          <w:tcPr>
            <w:tcW w:w="976" w:type="dxa"/>
            <w:vAlign w:val="center"/>
          </w:tcPr>
          <w:p w14:paraId="61B40C61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-35kg</w:t>
            </w:r>
          </w:p>
        </w:tc>
        <w:tc>
          <w:tcPr>
            <w:tcW w:w="976" w:type="dxa"/>
            <w:vAlign w:val="center"/>
          </w:tcPr>
          <w:p w14:paraId="26117D9F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-38kg</w:t>
            </w:r>
          </w:p>
        </w:tc>
        <w:tc>
          <w:tcPr>
            <w:tcW w:w="976" w:type="dxa"/>
            <w:vAlign w:val="center"/>
          </w:tcPr>
          <w:p w14:paraId="355785C8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-41kg</w:t>
            </w:r>
          </w:p>
        </w:tc>
        <w:tc>
          <w:tcPr>
            <w:tcW w:w="976" w:type="dxa"/>
            <w:vAlign w:val="center"/>
          </w:tcPr>
          <w:p w14:paraId="642CE7DD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-45kg</w:t>
            </w:r>
          </w:p>
        </w:tc>
        <w:tc>
          <w:tcPr>
            <w:tcW w:w="976" w:type="dxa"/>
            <w:vAlign w:val="center"/>
          </w:tcPr>
          <w:p w14:paraId="324F136C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-49kg</w:t>
            </w:r>
          </w:p>
        </w:tc>
        <w:tc>
          <w:tcPr>
            <w:tcW w:w="976" w:type="dxa"/>
            <w:vAlign w:val="center"/>
          </w:tcPr>
          <w:p w14:paraId="7A7A2184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+49kg</w:t>
            </w:r>
          </w:p>
        </w:tc>
      </w:tr>
    </w:tbl>
    <w:p w14:paraId="430C2FEF"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b.少年组：</w:t>
      </w:r>
    </w:p>
    <w:tbl>
      <w:tblPr>
        <w:tblStyle w:val="14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76"/>
        <w:gridCol w:w="976"/>
        <w:gridCol w:w="976"/>
        <w:gridCol w:w="976"/>
        <w:gridCol w:w="976"/>
        <w:gridCol w:w="976"/>
      </w:tblGrid>
      <w:tr w14:paraId="1A68A8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77773F17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男子</w:t>
            </w:r>
          </w:p>
        </w:tc>
        <w:tc>
          <w:tcPr>
            <w:tcW w:w="976" w:type="dxa"/>
            <w:vAlign w:val="center"/>
          </w:tcPr>
          <w:p w14:paraId="2DC46AD0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-37kg</w:t>
            </w:r>
          </w:p>
        </w:tc>
        <w:tc>
          <w:tcPr>
            <w:tcW w:w="976" w:type="dxa"/>
            <w:vAlign w:val="center"/>
          </w:tcPr>
          <w:p w14:paraId="09D90DEC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-40kg</w:t>
            </w:r>
          </w:p>
        </w:tc>
        <w:tc>
          <w:tcPr>
            <w:tcW w:w="976" w:type="dxa"/>
            <w:vAlign w:val="center"/>
          </w:tcPr>
          <w:p w14:paraId="34680F85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-44kg</w:t>
            </w:r>
          </w:p>
        </w:tc>
        <w:tc>
          <w:tcPr>
            <w:tcW w:w="976" w:type="dxa"/>
            <w:vAlign w:val="center"/>
          </w:tcPr>
          <w:p w14:paraId="20B29B37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-48kg</w:t>
            </w:r>
          </w:p>
        </w:tc>
        <w:tc>
          <w:tcPr>
            <w:tcW w:w="976" w:type="dxa"/>
            <w:vAlign w:val="center"/>
          </w:tcPr>
          <w:p w14:paraId="3966186E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-52kg</w:t>
            </w:r>
          </w:p>
        </w:tc>
        <w:tc>
          <w:tcPr>
            <w:tcW w:w="976" w:type="dxa"/>
            <w:vAlign w:val="center"/>
          </w:tcPr>
          <w:p w14:paraId="3728C167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+52kg</w:t>
            </w:r>
          </w:p>
        </w:tc>
      </w:tr>
      <w:tr w14:paraId="539825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5B9C8D39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女子</w:t>
            </w:r>
          </w:p>
        </w:tc>
        <w:tc>
          <w:tcPr>
            <w:tcW w:w="976" w:type="dxa"/>
            <w:vAlign w:val="center"/>
          </w:tcPr>
          <w:p w14:paraId="21F709DA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-33kg</w:t>
            </w:r>
          </w:p>
        </w:tc>
        <w:tc>
          <w:tcPr>
            <w:tcW w:w="976" w:type="dxa"/>
            <w:vAlign w:val="center"/>
          </w:tcPr>
          <w:p w14:paraId="551B0EEE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-35kg</w:t>
            </w:r>
          </w:p>
        </w:tc>
        <w:tc>
          <w:tcPr>
            <w:tcW w:w="976" w:type="dxa"/>
            <w:vAlign w:val="center"/>
          </w:tcPr>
          <w:p w14:paraId="7340E4FB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-39kg</w:t>
            </w:r>
          </w:p>
        </w:tc>
        <w:tc>
          <w:tcPr>
            <w:tcW w:w="976" w:type="dxa"/>
            <w:vAlign w:val="center"/>
          </w:tcPr>
          <w:p w14:paraId="5FFA34C8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-43kg</w:t>
            </w:r>
          </w:p>
        </w:tc>
        <w:tc>
          <w:tcPr>
            <w:tcW w:w="976" w:type="dxa"/>
            <w:vAlign w:val="center"/>
          </w:tcPr>
          <w:p w14:paraId="2583A897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-47kg</w:t>
            </w:r>
          </w:p>
        </w:tc>
        <w:tc>
          <w:tcPr>
            <w:tcW w:w="976" w:type="dxa"/>
            <w:vAlign w:val="center"/>
          </w:tcPr>
          <w:p w14:paraId="48F69256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+47kg</w:t>
            </w:r>
          </w:p>
        </w:tc>
      </w:tr>
    </w:tbl>
    <w:p w14:paraId="30DAD511"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c.少儿组：</w:t>
      </w:r>
    </w:p>
    <w:tbl>
      <w:tblPr>
        <w:tblStyle w:val="14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76"/>
        <w:gridCol w:w="976"/>
        <w:gridCol w:w="976"/>
        <w:gridCol w:w="976"/>
        <w:gridCol w:w="976"/>
        <w:gridCol w:w="976"/>
      </w:tblGrid>
      <w:tr w14:paraId="68000B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jc w:val="center"/>
        </w:trPr>
        <w:tc>
          <w:tcPr>
            <w:tcW w:w="976" w:type="dxa"/>
            <w:vAlign w:val="center"/>
          </w:tcPr>
          <w:p w14:paraId="3C27C5DE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男子</w:t>
            </w:r>
          </w:p>
        </w:tc>
        <w:tc>
          <w:tcPr>
            <w:tcW w:w="976" w:type="dxa"/>
            <w:vAlign w:val="center"/>
          </w:tcPr>
          <w:p w14:paraId="77BAB152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-31kg</w:t>
            </w:r>
          </w:p>
        </w:tc>
        <w:tc>
          <w:tcPr>
            <w:tcW w:w="976" w:type="dxa"/>
            <w:vAlign w:val="center"/>
          </w:tcPr>
          <w:p w14:paraId="3FBA2EA3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-34kg</w:t>
            </w:r>
          </w:p>
        </w:tc>
        <w:tc>
          <w:tcPr>
            <w:tcW w:w="976" w:type="dxa"/>
            <w:vAlign w:val="center"/>
          </w:tcPr>
          <w:p w14:paraId="660C3E5B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-37kg</w:t>
            </w:r>
          </w:p>
        </w:tc>
        <w:tc>
          <w:tcPr>
            <w:tcW w:w="976" w:type="dxa"/>
            <w:vAlign w:val="center"/>
          </w:tcPr>
          <w:p w14:paraId="6631D3B3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-40kg</w:t>
            </w:r>
          </w:p>
        </w:tc>
        <w:tc>
          <w:tcPr>
            <w:tcW w:w="976" w:type="dxa"/>
            <w:vAlign w:val="center"/>
          </w:tcPr>
          <w:p w14:paraId="5B8F211C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-44kg</w:t>
            </w:r>
          </w:p>
        </w:tc>
        <w:tc>
          <w:tcPr>
            <w:tcW w:w="976" w:type="dxa"/>
            <w:vAlign w:val="center"/>
          </w:tcPr>
          <w:p w14:paraId="40DA2A5E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+44kg</w:t>
            </w:r>
          </w:p>
        </w:tc>
      </w:tr>
      <w:tr w14:paraId="732F77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7F630A6F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女子</w:t>
            </w:r>
          </w:p>
        </w:tc>
        <w:tc>
          <w:tcPr>
            <w:tcW w:w="976" w:type="dxa"/>
            <w:vAlign w:val="center"/>
          </w:tcPr>
          <w:p w14:paraId="3E0D6D9C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-27kg</w:t>
            </w:r>
          </w:p>
        </w:tc>
        <w:tc>
          <w:tcPr>
            <w:tcW w:w="976" w:type="dxa"/>
            <w:vAlign w:val="center"/>
          </w:tcPr>
          <w:p w14:paraId="153A24D3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-30kg</w:t>
            </w:r>
          </w:p>
        </w:tc>
        <w:tc>
          <w:tcPr>
            <w:tcW w:w="976" w:type="dxa"/>
            <w:vAlign w:val="center"/>
          </w:tcPr>
          <w:p w14:paraId="79CE1C63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-33kg</w:t>
            </w:r>
          </w:p>
        </w:tc>
        <w:tc>
          <w:tcPr>
            <w:tcW w:w="976" w:type="dxa"/>
            <w:vAlign w:val="center"/>
          </w:tcPr>
          <w:p w14:paraId="60174054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-36kg</w:t>
            </w:r>
          </w:p>
        </w:tc>
        <w:tc>
          <w:tcPr>
            <w:tcW w:w="976" w:type="dxa"/>
            <w:vAlign w:val="center"/>
          </w:tcPr>
          <w:p w14:paraId="280F78DD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-40kg</w:t>
            </w:r>
          </w:p>
        </w:tc>
        <w:tc>
          <w:tcPr>
            <w:tcW w:w="976" w:type="dxa"/>
            <w:vAlign w:val="center"/>
          </w:tcPr>
          <w:p w14:paraId="271EB7C9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+40kg</w:t>
            </w:r>
          </w:p>
        </w:tc>
      </w:tr>
    </w:tbl>
    <w:p w14:paraId="30685FD8"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d.儿童组：</w:t>
      </w:r>
    </w:p>
    <w:tbl>
      <w:tblPr>
        <w:tblStyle w:val="14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76"/>
        <w:gridCol w:w="976"/>
        <w:gridCol w:w="976"/>
        <w:gridCol w:w="976"/>
        <w:gridCol w:w="976"/>
        <w:gridCol w:w="976"/>
      </w:tblGrid>
      <w:tr w14:paraId="35AEA3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4D530141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男子</w:t>
            </w:r>
          </w:p>
        </w:tc>
        <w:tc>
          <w:tcPr>
            <w:tcW w:w="976" w:type="dxa"/>
            <w:vAlign w:val="center"/>
          </w:tcPr>
          <w:p w14:paraId="5653D2C4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-26kg</w:t>
            </w:r>
          </w:p>
        </w:tc>
        <w:tc>
          <w:tcPr>
            <w:tcW w:w="976" w:type="dxa"/>
            <w:vAlign w:val="center"/>
          </w:tcPr>
          <w:p w14:paraId="4821FB7F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-28kg</w:t>
            </w:r>
          </w:p>
        </w:tc>
        <w:tc>
          <w:tcPr>
            <w:tcW w:w="976" w:type="dxa"/>
            <w:vAlign w:val="center"/>
          </w:tcPr>
          <w:p w14:paraId="5071344C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-31kg</w:t>
            </w:r>
          </w:p>
        </w:tc>
        <w:tc>
          <w:tcPr>
            <w:tcW w:w="976" w:type="dxa"/>
            <w:vAlign w:val="center"/>
          </w:tcPr>
          <w:p w14:paraId="3C19E3CD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-34kg</w:t>
            </w:r>
          </w:p>
        </w:tc>
        <w:tc>
          <w:tcPr>
            <w:tcW w:w="976" w:type="dxa"/>
            <w:vAlign w:val="center"/>
          </w:tcPr>
          <w:p w14:paraId="15417CA7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-37kg</w:t>
            </w:r>
          </w:p>
        </w:tc>
        <w:tc>
          <w:tcPr>
            <w:tcW w:w="976" w:type="dxa"/>
            <w:vAlign w:val="center"/>
          </w:tcPr>
          <w:p w14:paraId="32DD3E96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+37kg</w:t>
            </w:r>
          </w:p>
        </w:tc>
      </w:tr>
      <w:tr w14:paraId="2C2499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41F56E73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女子</w:t>
            </w:r>
          </w:p>
        </w:tc>
        <w:tc>
          <w:tcPr>
            <w:tcW w:w="976" w:type="dxa"/>
            <w:vAlign w:val="center"/>
          </w:tcPr>
          <w:p w14:paraId="7716EA87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-23kg</w:t>
            </w:r>
          </w:p>
        </w:tc>
        <w:tc>
          <w:tcPr>
            <w:tcW w:w="976" w:type="dxa"/>
            <w:vAlign w:val="center"/>
          </w:tcPr>
          <w:p w14:paraId="2CE83CCA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-25kg</w:t>
            </w:r>
          </w:p>
        </w:tc>
        <w:tc>
          <w:tcPr>
            <w:tcW w:w="976" w:type="dxa"/>
            <w:vAlign w:val="center"/>
          </w:tcPr>
          <w:p w14:paraId="617F8E64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-28kg</w:t>
            </w:r>
          </w:p>
        </w:tc>
        <w:tc>
          <w:tcPr>
            <w:tcW w:w="976" w:type="dxa"/>
            <w:vAlign w:val="center"/>
          </w:tcPr>
          <w:p w14:paraId="22E08DAC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-31kg</w:t>
            </w:r>
          </w:p>
        </w:tc>
        <w:tc>
          <w:tcPr>
            <w:tcW w:w="976" w:type="dxa"/>
            <w:vAlign w:val="center"/>
          </w:tcPr>
          <w:p w14:paraId="22B6936F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-34kg</w:t>
            </w:r>
          </w:p>
        </w:tc>
        <w:tc>
          <w:tcPr>
            <w:tcW w:w="976" w:type="dxa"/>
            <w:vAlign w:val="center"/>
          </w:tcPr>
          <w:p w14:paraId="100F4FC5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+34kg</w:t>
            </w:r>
          </w:p>
        </w:tc>
      </w:tr>
    </w:tbl>
    <w:p w14:paraId="31030D72"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e.幼儿组：</w:t>
      </w:r>
    </w:p>
    <w:tbl>
      <w:tblPr>
        <w:tblStyle w:val="14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76"/>
        <w:gridCol w:w="976"/>
        <w:gridCol w:w="976"/>
        <w:gridCol w:w="976"/>
        <w:gridCol w:w="976"/>
        <w:gridCol w:w="976"/>
      </w:tblGrid>
      <w:tr w14:paraId="4EE567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15511607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男子</w:t>
            </w:r>
          </w:p>
        </w:tc>
        <w:tc>
          <w:tcPr>
            <w:tcW w:w="976" w:type="dxa"/>
            <w:vAlign w:val="center"/>
          </w:tcPr>
          <w:p w14:paraId="2333D24D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-22kg</w:t>
            </w:r>
          </w:p>
        </w:tc>
        <w:tc>
          <w:tcPr>
            <w:tcW w:w="976" w:type="dxa"/>
            <w:vAlign w:val="center"/>
          </w:tcPr>
          <w:p w14:paraId="71BA243D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-24kg</w:t>
            </w:r>
          </w:p>
        </w:tc>
        <w:tc>
          <w:tcPr>
            <w:tcW w:w="976" w:type="dxa"/>
            <w:vAlign w:val="center"/>
          </w:tcPr>
          <w:p w14:paraId="0D0A6BFB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-26kg</w:t>
            </w:r>
          </w:p>
        </w:tc>
        <w:tc>
          <w:tcPr>
            <w:tcW w:w="976" w:type="dxa"/>
            <w:vAlign w:val="center"/>
          </w:tcPr>
          <w:p w14:paraId="27E5BD49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-28kg</w:t>
            </w:r>
          </w:p>
        </w:tc>
        <w:tc>
          <w:tcPr>
            <w:tcW w:w="976" w:type="dxa"/>
            <w:vAlign w:val="center"/>
          </w:tcPr>
          <w:p w14:paraId="46ED5B1B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-30kg</w:t>
            </w:r>
          </w:p>
        </w:tc>
        <w:tc>
          <w:tcPr>
            <w:tcW w:w="976" w:type="dxa"/>
            <w:vAlign w:val="center"/>
          </w:tcPr>
          <w:p w14:paraId="2AD7C878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+30kg</w:t>
            </w:r>
          </w:p>
        </w:tc>
      </w:tr>
      <w:tr w14:paraId="7973D9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14:paraId="1F15E043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女子</w:t>
            </w:r>
          </w:p>
        </w:tc>
        <w:tc>
          <w:tcPr>
            <w:tcW w:w="976" w:type="dxa"/>
            <w:vAlign w:val="center"/>
          </w:tcPr>
          <w:p w14:paraId="3AE85C65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-20kg</w:t>
            </w:r>
          </w:p>
        </w:tc>
        <w:tc>
          <w:tcPr>
            <w:tcW w:w="976" w:type="dxa"/>
            <w:vAlign w:val="center"/>
          </w:tcPr>
          <w:p w14:paraId="43D6E433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-22kg</w:t>
            </w:r>
          </w:p>
        </w:tc>
        <w:tc>
          <w:tcPr>
            <w:tcW w:w="976" w:type="dxa"/>
            <w:vAlign w:val="center"/>
          </w:tcPr>
          <w:p w14:paraId="572F58AF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-24kg</w:t>
            </w:r>
          </w:p>
        </w:tc>
        <w:tc>
          <w:tcPr>
            <w:tcW w:w="976" w:type="dxa"/>
            <w:vAlign w:val="center"/>
          </w:tcPr>
          <w:p w14:paraId="759232D2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-26kg</w:t>
            </w:r>
          </w:p>
        </w:tc>
        <w:tc>
          <w:tcPr>
            <w:tcW w:w="976" w:type="dxa"/>
            <w:vAlign w:val="center"/>
          </w:tcPr>
          <w:p w14:paraId="3F05A951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-28kg</w:t>
            </w:r>
          </w:p>
        </w:tc>
        <w:tc>
          <w:tcPr>
            <w:tcW w:w="976" w:type="dxa"/>
            <w:vAlign w:val="center"/>
          </w:tcPr>
          <w:p w14:paraId="480A224C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+28kg</w:t>
            </w:r>
          </w:p>
        </w:tc>
      </w:tr>
    </w:tbl>
    <w:p w14:paraId="5F38188F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（5）重要说明：报名时请按实际公斤级别报名，体重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上下浮动0.5公斤。超重按失格处理</w:t>
      </w:r>
      <w:r>
        <w:rPr>
          <w:rFonts w:hint="eastAsia" w:ascii="仿宋_GB2312" w:hAnsi="仿宋_GB2312" w:eastAsia="仿宋_GB2312"/>
          <w:bCs/>
          <w:sz w:val="32"/>
          <w:szCs w:val="32"/>
        </w:rPr>
        <w:t>。</w:t>
      </w:r>
    </w:p>
    <w:p w14:paraId="4A92858D">
      <w:pPr>
        <w:widowControl/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七、录取名次与奖励</w:t>
      </w:r>
    </w:p>
    <w:p w14:paraId="29C723D3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（一）各组别比赛录取前八名颁发奖状（第三、四名并列第三名，第五至八名并列第五名），给予前三名颁发奖牌奖励。</w:t>
      </w:r>
    </w:p>
    <w:p w14:paraId="781505BE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（二）分别设品势团体总分、竞技团体总分奖，分别给予前八名单位颁发奖杯，计算办法：按9、7、</w:t>
      </w:r>
      <w:r>
        <w:rPr>
          <w:rFonts w:ascii="仿宋_GB2312" w:hAnsi="仿宋_GB2312" w:eastAsia="仿宋_GB2312"/>
          <w:bCs/>
          <w:sz w:val="32"/>
          <w:szCs w:val="32"/>
        </w:rPr>
        <w:t>5.5</w:t>
      </w:r>
      <w:r>
        <w:rPr>
          <w:rFonts w:hint="eastAsia" w:ascii="仿宋_GB2312" w:hAnsi="仿宋_GB2312" w:eastAsia="仿宋_GB2312"/>
          <w:bCs/>
          <w:sz w:val="32"/>
          <w:szCs w:val="32"/>
        </w:rPr>
        <w:t>（并列第三名）</w:t>
      </w:r>
      <w:r>
        <w:rPr>
          <w:rFonts w:ascii="仿宋_GB2312" w:hAnsi="仿宋_GB2312" w:eastAsia="仿宋_GB2312"/>
          <w:bCs/>
          <w:sz w:val="32"/>
          <w:szCs w:val="32"/>
        </w:rPr>
        <w:t>、2.5</w:t>
      </w:r>
      <w:r>
        <w:rPr>
          <w:rFonts w:hint="eastAsia" w:ascii="仿宋_GB2312" w:hAnsi="仿宋_GB2312" w:eastAsia="仿宋_GB2312"/>
          <w:bCs/>
          <w:sz w:val="32"/>
          <w:szCs w:val="32"/>
        </w:rPr>
        <w:t>（并列第五名）累计总分。总分相等计冠军数，冠军相等计亚军数，依次类推。</w:t>
      </w:r>
    </w:p>
    <w:p w14:paraId="1BEF65D7">
      <w:pPr>
        <w:widowControl/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八、体育道德风尚奖</w:t>
      </w:r>
    </w:p>
    <w:p w14:paraId="15A5486A">
      <w:pPr>
        <w:tabs>
          <w:tab w:val="left" w:pos="72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（一）设“体育道德风尚奖运动队”：按报名队伍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5：1比例评选。</w:t>
      </w:r>
    </w:p>
    <w:p w14:paraId="11B6B0FE">
      <w:pPr>
        <w:tabs>
          <w:tab w:val="left" w:pos="72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（二）设“优秀运动员”奖：按参加单位人数10：1比例评选。</w:t>
      </w:r>
    </w:p>
    <w:p w14:paraId="16CE107F">
      <w:pPr>
        <w:tabs>
          <w:tab w:val="left" w:pos="72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（三）设“优秀裁判员”奖：按裁判员人数5：1比例评选。</w:t>
      </w:r>
    </w:p>
    <w:p w14:paraId="15EB343F">
      <w:pPr>
        <w:tabs>
          <w:tab w:val="left" w:pos="72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（四）设“优秀教练员”奖：按参加单位人数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：1比例评选。</w:t>
      </w:r>
    </w:p>
    <w:p w14:paraId="5F40F05A">
      <w:pPr>
        <w:tabs>
          <w:tab w:val="left" w:pos="720"/>
        </w:tabs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九、经费</w:t>
      </w:r>
    </w:p>
    <w:p w14:paraId="53426871">
      <w:pPr>
        <w:widowControl/>
        <w:spacing w:line="360" w:lineRule="auto"/>
        <w:ind w:firstLine="640" w:firstLineChars="200"/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（一）各参赛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运动员缴纳竞赛管理费，以弥补经费不足，具体收费标准在补充通知中公布。</w:t>
      </w:r>
    </w:p>
    <w:p w14:paraId="2E89BABE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bCs/>
          <w:sz w:val="32"/>
          <w:szCs w:val="32"/>
        </w:rPr>
        <w:t>）各参赛队往返赛区交通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费、保险费</w:t>
      </w:r>
      <w:r>
        <w:rPr>
          <w:rFonts w:hint="eastAsia" w:ascii="仿宋_GB2312" w:hAnsi="仿宋_GB2312" w:eastAsia="仿宋_GB2312"/>
          <w:bCs/>
          <w:sz w:val="32"/>
          <w:szCs w:val="32"/>
        </w:rPr>
        <w:t>及食宿费自理。</w:t>
      </w:r>
    </w:p>
    <w:p w14:paraId="50FAB029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bCs/>
          <w:sz w:val="32"/>
          <w:szCs w:val="32"/>
        </w:rPr>
        <w:t>）裁判员往返赛区交通及食宿费由承办单位负责。</w:t>
      </w:r>
    </w:p>
    <w:p w14:paraId="389D3D1E">
      <w:pPr>
        <w:widowControl/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十、报名和报到</w:t>
      </w:r>
    </w:p>
    <w:p w14:paraId="09756D66">
      <w:pPr>
        <w:tabs>
          <w:tab w:val="left" w:pos="766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（一）</w:t>
      </w:r>
      <w:r>
        <w:rPr>
          <w:rFonts w:hint="eastAsia" w:ascii="仿宋_GB2312" w:hAnsi="仿宋_GB2312" w:eastAsia="仿宋_GB2312" w:cs="仿宋_GB2312"/>
          <w:snapToGrid w:val="0"/>
          <w:spacing w:val="8"/>
          <w:kern w:val="0"/>
          <w:sz w:val="32"/>
          <w:szCs w:val="32"/>
        </w:rPr>
        <w:t>报名时间以大会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正式下发的补充通知为准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。另网上提交报名表后，请将下载的报名表加盖单位公章并进行扫描，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于赛前5天发电子邮件至：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594411468@qq.com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陈老师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17688468635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。逾期报名，以不参加论。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报名技术联系人：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黄老师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15919722918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009F023">
      <w:pPr>
        <w:tabs>
          <w:tab w:val="left" w:pos="7665"/>
        </w:tabs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（二）各参赛队伍可报领队1名、教练员1-4</w:t>
      </w:r>
      <w:r>
        <w:rPr>
          <w:rFonts w:hint="eastAsia" w:ascii="仿宋_GB2312" w:hAnsi="仿宋_GB2312" w:eastAsia="仿宋_GB2312"/>
          <w:bCs/>
          <w:sz w:val="32"/>
          <w:szCs w:val="32"/>
        </w:rPr>
        <w:t>名，名单上没有报名的人员不派发工作证，不得进入比赛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场地</w:t>
      </w:r>
      <w:r>
        <w:rPr>
          <w:rFonts w:hint="eastAsia" w:ascii="仿宋_GB2312" w:hAnsi="仿宋_GB2312" w:eastAsia="仿宋_GB2312"/>
          <w:bCs/>
          <w:sz w:val="32"/>
          <w:szCs w:val="32"/>
        </w:rPr>
        <w:t>。</w:t>
      </w:r>
    </w:p>
    <w:p w14:paraId="4D5D898D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（三）每个参赛队运动员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人数</w:t>
      </w:r>
      <w:r>
        <w:rPr>
          <w:rFonts w:hint="eastAsia" w:ascii="仿宋_GB2312" w:hAnsi="仿宋_GB2312" w:eastAsia="仿宋_GB2312"/>
          <w:bCs/>
          <w:sz w:val="32"/>
          <w:szCs w:val="32"/>
        </w:rPr>
        <w:t>不得少于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Cs/>
          <w:sz w:val="32"/>
          <w:szCs w:val="32"/>
        </w:rPr>
        <w:t>人（含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Cs/>
          <w:sz w:val="32"/>
          <w:szCs w:val="32"/>
        </w:rPr>
        <w:t>人），不能多于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Cs/>
          <w:sz w:val="32"/>
          <w:szCs w:val="32"/>
        </w:rPr>
        <w:t>0人（含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Cs/>
          <w:sz w:val="32"/>
          <w:szCs w:val="32"/>
        </w:rPr>
        <w:t>0人），不得分队参赛。</w:t>
      </w:r>
    </w:p>
    <w:p w14:paraId="7DD70010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（四）每名运动员只能选择品势项目或竞技项目的其中一个参赛项目比赛，品势项目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/>
          <w:bCs/>
          <w:sz w:val="32"/>
          <w:szCs w:val="32"/>
        </w:rPr>
        <w:t>兼项报名。</w:t>
      </w:r>
    </w:p>
    <w:p w14:paraId="46FDA065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/>
          <w:bCs/>
          <w:sz w:val="32"/>
          <w:szCs w:val="32"/>
        </w:rPr>
        <w:t>）运动队请按时到赛区报到（具体时间地点另行通知），报到时提交报名表原件（盖章）和《自愿参赛责任及风险告知书》。</w:t>
      </w:r>
    </w:p>
    <w:p w14:paraId="70531FF0">
      <w:pPr>
        <w:widowControl/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十一、仲裁委员会及裁判员</w:t>
      </w:r>
    </w:p>
    <w:p w14:paraId="67D99525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由主办单位统一选派，不足人员由承办单位补充，名单报主办单位同意后确定。</w:t>
      </w:r>
    </w:p>
    <w:p w14:paraId="5D760F2C">
      <w:pPr>
        <w:widowControl/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十二、竞赛监督组</w:t>
      </w:r>
    </w:p>
    <w:p w14:paraId="4FA5B68E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（一）主办单位委派组成的竞赛监督组，负责全面监察赛事的正常进行，如发生安全隐患、秩序失控或遇到不可抗因素事情等重大问题时，拥有终止赛事和处理突发事件的最终权利。</w:t>
      </w:r>
    </w:p>
    <w:p w14:paraId="7C6B5F4D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（二）赛事期间，在场的教练员、运动员、家长或观众严重影响赛事正常进行，不服从大会指挥时，有权通过安保程序进行清场，并追究主要负责人和滋事者的相关责任，并进行处罚。</w:t>
      </w:r>
    </w:p>
    <w:p w14:paraId="08543801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（三）参赛运动员严禁冒名顶替，虚报年龄等弄虚作假行为，如发现违反规定者，竞赛监督组有权取消该参赛单位所有成绩和所有优秀奖评比资格，并进行通报。</w:t>
      </w:r>
    </w:p>
    <w:p w14:paraId="2B501DC9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（四）场上指挥的教练员必须持有效的教练员证进行执教，教练员严禁穿拖鞋、短裤、跨栏背心进场，若衣冠不整，立刻清理出场。</w:t>
      </w:r>
    </w:p>
    <w:p w14:paraId="7C1711AF">
      <w:pPr>
        <w:widowControl/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十三、联席会议</w:t>
      </w:r>
    </w:p>
    <w:p w14:paraId="26D6CAAC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（一）联席会议时间、地点另行通知，各队必须派领队或教练员最少其中1人出席，否则不能参加所有优秀奖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项评选</w:t>
      </w:r>
      <w:r>
        <w:rPr>
          <w:rFonts w:hint="eastAsia" w:ascii="仿宋_GB2312" w:hAnsi="仿宋_GB2312" w:eastAsia="仿宋_GB2312"/>
          <w:bCs/>
          <w:sz w:val="32"/>
          <w:szCs w:val="32"/>
        </w:rPr>
        <w:t>资格。</w:t>
      </w:r>
    </w:p>
    <w:p w14:paraId="7D15CC5A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（二）比赛项目进行电脑自动抽签排位，报名截止后进行各参赛队伍名单、对阵表和出场顺序表核对工作。</w:t>
      </w:r>
    </w:p>
    <w:p w14:paraId="1CE3C6CC">
      <w:pPr>
        <w:widowControl/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十四、器材要求</w:t>
      </w:r>
    </w:p>
    <w:p w14:paraId="6E815FCE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（一）参加个人竞技项目的运动员必须穿戴符合跆拳道比赛要求的器材，各参赛队需自备个人设备（包括：护臂、护腿、护裆和护手套），缺一不可；电子护具设备由大会提供（包括：电子护甲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bCs/>
          <w:sz w:val="32"/>
          <w:szCs w:val="32"/>
        </w:rPr>
        <w:t>电子脚套、电子头盔和面罩）。</w:t>
      </w:r>
    </w:p>
    <w:p w14:paraId="3796F9ED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（二）如未按规定穿戴护具，组委会将取消其参赛资格，因护具原因造成的伤害事故后果自负。</w:t>
      </w:r>
    </w:p>
    <w:p w14:paraId="2BB9BC8A">
      <w:pPr>
        <w:widowControl/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十五、服装要求</w:t>
      </w:r>
    </w:p>
    <w:p w14:paraId="6BD26615">
      <w:pPr>
        <w:widowControl/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（一）参加品势比赛可穿品势道服或竞技道服。</w:t>
      </w:r>
    </w:p>
    <w:p w14:paraId="262A5B83">
      <w:pPr>
        <w:widowControl/>
        <w:tabs>
          <w:tab w:val="left" w:pos="1260"/>
        </w:tabs>
        <w:spacing w:line="360" w:lineRule="auto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（二）参加竞技比赛不得穿品势道服或表演服。</w:t>
      </w:r>
    </w:p>
    <w:p w14:paraId="178633F4">
      <w:pPr>
        <w:widowControl/>
        <w:tabs>
          <w:tab w:val="left" w:pos="1260"/>
        </w:tabs>
        <w:spacing w:line="360" w:lineRule="auto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六、为端正赛风，严肃赛场纪律，保证公平竞赛，各单位和全体裁判员，必须严格遵守国家体育总局和赛区制定的各项规定，认真比赛，公正执法，如有违反，将根据情节按国家体育总局和广东省体育局的有关文件严肃处理。</w:t>
      </w:r>
    </w:p>
    <w:p w14:paraId="595EA6E6">
      <w:pPr>
        <w:widowControl/>
        <w:tabs>
          <w:tab w:val="left" w:pos="1260"/>
        </w:tabs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十七、未尽事宜，另行通知。可查阅“广东省社会体育和训练竞赛中心”网站（gdxjzx.org）中“粤港澳大湾区系列赛”专题网站。</w:t>
      </w:r>
    </w:p>
    <w:p w14:paraId="325E2F86">
      <w:pPr>
        <w:widowControl/>
        <w:tabs>
          <w:tab w:val="left" w:pos="1260"/>
        </w:tabs>
        <w:spacing w:line="360" w:lineRule="auto"/>
        <w:ind w:firstLine="640" w:firstLineChars="200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十八、本规程的解释权属主办单位。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Borders>
        <w:top w:val="dotted" w:color="FFFFFF" w:sz="2" w:space="1"/>
        <w:left w:val="dotted" w:color="FFFFFF" w:sz="2" w:space="4"/>
        <w:bottom w:val="dotted" w:color="FFFFFF" w:sz="2" w:space="1"/>
        <w:right w:val="dotted" w:color="FFFFFF" w:sz="2" w:space="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4A957">
    <w:pPr>
      <w:pStyle w:val="10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D9E8C">
    <w:pPr>
      <w:pStyle w:val="10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 w14:paraId="0687BC07">
    <w:pPr>
      <w:pStyle w:val="10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TVjNTAzYjU5MDQwMGNlYmFiN2U0YmY1OWY1YzkifQ=="/>
    <w:docVar w:name="KSO_WPS_MARK_KEY" w:val="a22ede72-37f2-48af-8705-9ca8faf59afb"/>
  </w:docVars>
  <w:rsids>
    <w:rsidRoot w:val="009F1047"/>
    <w:rsid w:val="00017C97"/>
    <w:rsid w:val="00162D9E"/>
    <w:rsid w:val="002B144D"/>
    <w:rsid w:val="002C75B4"/>
    <w:rsid w:val="00590F5B"/>
    <w:rsid w:val="0060458D"/>
    <w:rsid w:val="00684727"/>
    <w:rsid w:val="007654B6"/>
    <w:rsid w:val="007E36F5"/>
    <w:rsid w:val="008766E1"/>
    <w:rsid w:val="009F1047"/>
    <w:rsid w:val="00AA60B7"/>
    <w:rsid w:val="00C21B49"/>
    <w:rsid w:val="00C224C9"/>
    <w:rsid w:val="01F40154"/>
    <w:rsid w:val="02876275"/>
    <w:rsid w:val="02DB5B66"/>
    <w:rsid w:val="04016F4E"/>
    <w:rsid w:val="04D90222"/>
    <w:rsid w:val="05980437"/>
    <w:rsid w:val="078A293C"/>
    <w:rsid w:val="07D45CB2"/>
    <w:rsid w:val="08E550EC"/>
    <w:rsid w:val="09230B8A"/>
    <w:rsid w:val="0BCB0ECE"/>
    <w:rsid w:val="0E1D0102"/>
    <w:rsid w:val="0E5300E6"/>
    <w:rsid w:val="0ECC1455"/>
    <w:rsid w:val="106D1CBD"/>
    <w:rsid w:val="112371A2"/>
    <w:rsid w:val="11DC588D"/>
    <w:rsid w:val="150911A7"/>
    <w:rsid w:val="159D7777"/>
    <w:rsid w:val="169D24D1"/>
    <w:rsid w:val="17AD104E"/>
    <w:rsid w:val="18F653B5"/>
    <w:rsid w:val="1BC87BA5"/>
    <w:rsid w:val="1D814207"/>
    <w:rsid w:val="1E177358"/>
    <w:rsid w:val="1E541410"/>
    <w:rsid w:val="1F956DFD"/>
    <w:rsid w:val="21420D19"/>
    <w:rsid w:val="2175070A"/>
    <w:rsid w:val="21752F3D"/>
    <w:rsid w:val="23953181"/>
    <w:rsid w:val="24DB60D2"/>
    <w:rsid w:val="266D4B67"/>
    <w:rsid w:val="27C524D6"/>
    <w:rsid w:val="28C707E0"/>
    <w:rsid w:val="2939710B"/>
    <w:rsid w:val="2AF53506"/>
    <w:rsid w:val="2F1208BD"/>
    <w:rsid w:val="316118F5"/>
    <w:rsid w:val="31FC759D"/>
    <w:rsid w:val="330C524D"/>
    <w:rsid w:val="356E427C"/>
    <w:rsid w:val="36B91444"/>
    <w:rsid w:val="38611AE3"/>
    <w:rsid w:val="38BC4C01"/>
    <w:rsid w:val="38FD3D14"/>
    <w:rsid w:val="3B5953EB"/>
    <w:rsid w:val="3C296894"/>
    <w:rsid w:val="3C8E6F2D"/>
    <w:rsid w:val="3CE53F6B"/>
    <w:rsid w:val="3E3B23D5"/>
    <w:rsid w:val="3FB62E0C"/>
    <w:rsid w:val="416C1DA4"/>
    <w:rsid w:val="43750930"/>
    <w:rsid w:val="437A128E"/>
    <w:rsid w:val="43AB3E9D"/>
    <w:rsid w:val="44BD3F36"/>
    <w:rsid w:val="47A81BA3"/>
    <w:rsid w:val="49143793"/>
    <w:rsid w:val="49A12C92"/>
    <w:rsid w:val="4A064990"/>
    <w:rsid w:val="4C717508"/>
    <w:rsid w:val="4D295EA4"/>
    <w:rsid w:val="4E596361"/>
    <w:rsid w:val="4FBC70CC"/>
    <w:rsid w:val="531E285A"/>
    <w:rsid w:val="540868BB"/>
    <w:rsid w:val="54FE6B56"/>
    <w:rsid w:val="561843C9"/>
    <w:rsid w:val="57E645FE"/>
    <w:rsid w:val="5E50557E"/>
    <w:rsid w:val="5E96432D"/>
    <w:rsid w:val="5F101E43"/>
    <w:rsid w:val="5F5A7D14"/>
    <w:rsid w:val="5FE570CA"/>
    <w:rsid w:val="63D3277B"/>
    <w:rsid w:val="63DB61BB"/>
    <w:rsid w:val="641171AC"/>
    <w:rsid w:val="64A82DBC"/>
    <w:rsid w:val="65215C9F"/>
    <w:rsid w:val="67284E90"/>
    <w:rsid w:val="67561514"/>
    <w:rsid w:val="6BC5450D"/>
    <w:rsid w:val="6C2971C6"/>
    <w:rsid w:val="6F0A44BC"/>
    <w:rsid w:val="6F111730"/>
    <w:rsid w:val="6FC055B0"/>
    <w:rsid w:val="6FF71017"/>
    <w:rsid w:val="708632E8"/>
    <w:rsid w:val="71F907B3"/>
    <w:rsid w:val="72BE1B6E"/>
    <w:rsid w:val="73C64D7F"/>
    <w:rsid w:val="73D00FD6"/>
    <w:rsid w:val="744130CD"/>
    <w:rsid w:val="74E219D2"/>
    <w:rsid w:val="750E0BAB"/>
    <w:rsid w:val="77FB265E"/>
    <w:rsid w:val="7C7A264E"/>
    <w:rsid w:val="7ECC521D"/>
    <w:rsid w:val="7F5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Book Antiqua" w:hAnsi="Book Antiqua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annotation text"/>
    <w:basedOn w:val="1"/>
    <w:link w:val="2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1"/>
    <w:pPr>
      <w:ind w:left="120"/>
    </w:pPr>
    <w:rPr>
      <w:rFonts w:ascii="宋体" w:hAnsi="宋体" w:cs="宋体"/>
      <w:sz w:val="30"/>
      <w:szCs w:val="30"/>
      <w:lang w:val="zh-CN" w:bidi="zh-CN"/>
    </w:rPr>
  </w:style>
  <w:style w:type="paragraph" w:styleId="8">
    <w:name w:val="index 4"/>
    <w:basedOn w:val="1"/>
    <w:next w:val="1"/>
    <w:autoRedefine/>
    <w:qFormat/>
    <w:uiPriority w:val="0"/>
    <w:pPr>
      <w:ind w:left="600" w:leftChars="600"/>
    </w:pPr>
    <w:rPr>
      <w:rFonts w:ascii="Verdana" w:hAnsi="Verdana"/>
      <w:szCs w:val="20"/>
    </w:rPr>
  </w:style>
  <w:style w:type="paragraph" w:styleId="9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annotation subject"/>
    <w:basedOn w:val="6"/>
    <w:next w:val="6"/>
    <w:link w:val="24"/>
    <w:autoRedefine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page number"/>
    <w:autoRedefine/>
    <w:qFormat/>
    <w:uiPriority w:val="0"/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styleId="20">
    <w:name w:val="annotation reference"/>
    <w:autoRedefine/>
    <w:qFormat/>
    <w:uiPriority w:val="0"/>
    <w:rPr>
      <w:sz w:val="21"/>
      <w:szCs w:val="21"/>
    </w:rPr>
  </w:style>
  <w:style w:type="character" w:customStyle="1" w:styleId="21">
    <w:name w:val="批注文字 字符"/>
    <w:link w:val="6"/>
    <w:autoRedefine/>
    <w:qFormat/>
    <w:uiPriority w:val="0"/>
    <w:rPr>
      <w:rFonts w:ascii="Book Antiqua" w:hAnsi="Book Antiqua"/>
      <w:kern w:val="2"/>
      <w:sz w:val="21"/>
      <w:szCs w:val="24"/>
    </w:rPr>
  </w:style>
  <w:style w:type="character" w:customStyle="1" w:styleId="22">
    <w:name w:val="批注框文本 字符"/>
    <w:link w:val="9"/>
    <w:autoRedefine/>
    <w:qFormat/>
    <w:uiPriority w:val="0"/>
    <w:rPr>
      <w:rFonts w:ascii="Book Antiqua" w:hAnsi="Book Antiqua"/>
      <w:kern w:val="2"/>
      <w:sz w:val="18"/>
      <w:szCs w:val="18"/>
    </w:rPr>
  </w:style>
  <w:style w:type="character" w:customStyle="1" w:styleId="23">
    <w:name w:val="页眉 字符"/>
    <w:link w:val="11"/>
    <w:autoRedefine/>
    <w:qFormat/>
    <w:uiPriority w:val="0"/>
    <w:rPr>
      <w:rFonts w:ascii="Book Antiqua" w:hAnsi="Book Antiqua"/>
      <w:kern w:val="2"/>
      <w:sz w:val="18"/>
      <w:szCs w:val="18"/>
    </w:rPr>
  </w:style>
  <w:style w:type="character" w:customStyle="1" w:styleId="24">
    <w:name w:val="批注主题 字符"/>
    <w:link w:val="13"/>
    <w:autoRedefine/>
    <w:qFormat/>
    <w:uiPriority w:val="0"/>
    <w:rPr>
      <w:rFonts w:ascii="Book Antiqua" w:hAnsi="Book Antiqua"/>
      <w:b/>
      <w:bCs/>
      <w:kern w:val="2"/>
      <w:sz w:val="21"/>
      <w:szCs w:val="24"/>
    </w:rPr>
  </w:style>
  <w:style w:type="character" w:customStyle="1" w:styleId="25">
    <w:name w:val="已访问的超链接1"/>
    <w:autoRedefine/>
    <w:qFormat/>
    <w:uiPriority w:val="0"/>
    <w:rPr>
      <w:color w:val="954F72"/>
      <w:u w:val="single"/>
    </w:rPr>
  </w:style>
  <w:style w:type="paragraph" w:customStyle="1" w:styleId="26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8">
    <w:name w:val="修订1"/>
    <w:autoRedefine/>
    <w:qFormat/>
    <w:uiPriority w:val="0"/>
    <w:rPr>
      <w:rFonts w:ascii="Book Antiqua" w:hAnsi="Book Antiqua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列出段落1"/>
    <w:basedOn w:val="1"/>
    <w:autoRedefine/>
    <w:qFormat/>
    <w:uiPriority w:val="0"/>
    <w:pPr>
      <w:ind w:firstLine="42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2879</Words>
  <Characters>3235</Characters>
  <Lines>24</Lines>
  <Paragraphs>6</Paragraphs>
  <TotalTime>2</TotalTime>
  <ScaleCrop>false</ScaleCrop>
  <LinksUpToDate>false</LinksUpToDate>
  <CharactersWithSpaces>3235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2023-07-30T23:20:00Z</dcterms:created>
  <dc:creator>罗 微</dc:creator>
  <cp:lastModifiedBy>陈金华</cp:lastModifiedBy>
  <dcterms:modified xsi:type="dcterms:W3CDTF">2025-04-25T05:21:59Z</dcterms:modified>
  <dc:title>2023年粤港澳大湾区跆拳道比赛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D7B348114D854694B9D6F9611CD1D529_13</vt:lpwstr>
  </property>
  <property fmtid="{D5CDD505-2E9C-101B-9397-08002B2CF9AE}" pid="4" name="KSOTemplateDocerSaveRecord">
    <vt:lpwstr>eyJoZGlkIjoiNWYzODE5YTZiN2I5OGZhYTM3MTdiZGQwN2M0ODcyNTgiLCJ1c2VySWQiOiIzMjYyOTUzMTMifQ==</vt:lpwstr>
  </property>
</Properties>
</file>