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600" w:lineRule="exact"/>
        <w:jc w:val="center"/>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XXXXX赛事活动组织方案</w:t>
      </w:r>
    </w:p>
    <w:p>
      <w:pPr>
        <w:spacing w:line="600" w:lineRule="exact"/>
        <w:jc w:val="center"/>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（模板）</w:t>
      </w:r>
    </w:p>
    <w:p>
      <w:pPr>
        <w:pStyle w:val="3"/>
        <w:spacing w:line="596" w:lineRule="exact"/>
        <w:ind w:firstLine="562"/>
        <w:rPr>
          <w:rFonts w:ascii="仿宋" w:hAnsi="仿宋" w:eastAsia="仿宋" w:cs="黑体"/>
          <w:b/>
          <w:bCs/>
          <w:color w:val="000000"/>
          <w:sz w:val="28"/>
          <w:szCs w:val="28"/>
        </w:rPr>
      </w:pPr>
    </w:p>
    <w:p>
      <w:pPr>
        <w:pStyle w:val="3"/>
        <w:spacing w:line="596" w:lineRule="exact"/>
        <w:ind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为贯彻落实全民健身国家战略，进一步普及和推广我省</w:t>
      </w:r>
      <w:r>
        <w:rPr>
          <w:rFonts w:hint="eastAsia" w:ascii="仿宋_GB2312" w:hAnsi="仿宋_GB2312" w:eastAsia="仿宋_GB2312" w:cs="仿宋_GB2312"/>
          <w:color w:val="000000"/>
          <w:sz w:val="32"/>
          <w:szCs w:val="32"/>
          <w:highlight w:val="none"/>
          <w:lang w:val="en-US" w:eastAsia="zh-CN"/>
        </w:rPr>
        <w:t>XXXX</w:t>
      </w:r>
      <w:r>
        <w:rPr>
          <w:rFonts w:hint="eastAsia" w:ascii="仿宋_GB2312" w:hAnsi="仿宋_GB2312" w:eastAsia="仿宋_GB2312" w:cs="仿宋_GB2312"/>
          <w:color w:val="000000"/>
          <w:sz w:val="32"/>
          <w:szCs w:val="32"/>
          <w:highlight w:val="none"/>
        </w:rPr>
        <w:t>运动，促进</w:t>
      </w:r>
      <w:r>
        <w:rPr>
          <w:rFonts w:hint="eastAsia" w:ascii="仿宋_GB2312" w:hAnsi="仿宋_GB2312" w:eastAsia="仿宋_GB2312" w:cs="仿宋_GB2312"/>
          <w:color w:val="000000"/>
          <w:sz w:val="32"/>
          <w:szCs w:val="32"/>
          <w:highlight w:val="none"/>
          <w:lang w:val="en-US" w:eastAsia="zh-CN"/>
        </w:rPr>
        <w:t>XXX</w:t>
      </w:r>
      <w:r>
        <w:rPr>
          <w:rFonts w:hint="eastAsia" w:ascii="仿宋_GB2312" w:hAnsi="仿宋_GB2312" w:eastAsia="仿宋_GB2312" w:cs="仿宋_GB2312"/>
          <w:color w:val="000000"/>
          <w:sz w:val="32"/>
          <w:szCs w:val="32"/>
          <w:highlight w:val="none"/>
        </w:rPr>
        <w:t>全面发展、综合素质不断提高，拟定于</w:t>
      </w:r>
      <w:r>
        <w:rPr>
          <w:rFonts w:hint="eastAsia" w:ascii="仿宋_GB2312" w:hAnsi="仿宋_GB2312" w:eastAsia="仿宋_GB2312" w:cs="仿宋_GB2312"/>
          <w:color w:val="000000"/>
          <w:sz w:val="32"/>
          <w:szCs w:val="32"/>
          <w:highlight w:val="none"/>
          <w:lang w:val="en-US" w:eastAsia="zh-CN"/>
        </w:rPr>
        <w:t>XXXX</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XX</w:t>
      </w:r>
      <w:r>
        <w:rPr>
          <w:rFonts w:hint="eastAsia" w:ascii="仿宋_GB2312" w:hAnsi="仿宋_GB2312" w:eastAsia="仿宋_GB2312" w:cs="仿宋_GB2312"/>
          <w:color w:val="000000"/>
          <w:sz w:val="32"/>
          <w:szCs w:val="32"/>
          <w:highlight w:val="none"/>
        </w:rPr>
        <w:t>月在</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rPr>
        <w:t>举办</w:t>
      </w:r>
      <w:r>
        <w:rPr>
          <w:rFonts w:hint="eastAsia" w:ascii="仿宋_GB2312" w:hAnsi="仿宋_GB2312" w:eastAsia="仿宋_GB2312" w:cs="仿宋_GB2312"/>
          <w:sz w:val="32"/>
          <w:szCs w:val="32"/>
          <w:highlight w:val="none"/>
          <w:lang w:val="en-US" w:eastAsia="zh-CN"/>
        </w:rPr>
        <w:t>XXXX</w:t>
      </w:r>
      <w:r>
        <w:rPr>
          <w:rFonts w:hint="eastAsia" w:ascii="仿宋_GB2312" w:hAnsi="仿宋_GB2312" w:eastAsia="仿宋_GB2312" w:cs="仿宋_GB2312"/>
          <w:sz w:val="32"/>
          <w:szCs w:val="32"/>
          <w:highlight w:val="none"/>
        </w:rPr>
        <w:t>赛，</w:t>
      </w:r>
      <w:r>
        <w:rPr>
          <w:rFonts w:hint="eastAsia" w:ascii="仿宋_GB2312" w:hAnsi="仿宋_GB2312" w:eastAsia="仿宋_GB2312" w:cs="仿宋_GB2312"/>
          <w:color w:val="000000"/>
          <w:sz w:val="32"/>
          <w:szCs w:val="32"/>
          <w:highlight w:val="none"/>
        </w:rPr>
        <w:t>为做好赛事筹备及组织工作，明确分工职责，做好各项准备和保障工作，确保赛事安全、顺利、圆满进行，现制定工作方案如下。</w:t>
      </w:r>
    </w:p>
    <w:p>
      <w:pPr>
        <w:pStyle w:val="3"/>
        <w:numPr>
          <w:ilvl w:val="0"/>
          <w:numId w:val="0"/>
        </w:numPr>
        <w:spacing w:line="596" w:lineRule="exact"/>
        <w:ind w:left="562" w:leftChars="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一、赛事</w:t>
      </w:r>
      <w:r>
        <w:rPr>
          <w:rFonts w:hint="eastAsia" w:ascii="黑体" w:hAnsi="黑体" w:eastAsia="黑体" w:cs="黑体"/>
          <w:b w:val="0"/>
          <w:bCs w:val="0"/>
          <w:color w:val="auto"/>
          <w:sz w:val="32"/>
          <w:szCs w:val="32"/>
          <w:highlight w:val="none"/>
        </w:rPr>
        <w:t>机构</w:t>
      </w:r>
    </w:p>
    <w:p>
      <w:pPr>
        <w:spacing w:line="360" w:lineRule="auto"/>
        <w:ind w:firstLine="640" w:firstLineChars="200"/>
        <w:jc w:val="both"/>
        <w:rPr>
          <w:rFonts w:hint="default" w:ascii="楷体" w:hAnsi="楷体" w:eastAsia="楷体" w:cs="方正小标宋简体"/>
          <w:bCs/>
          <w:sz w:val="32"/>
          <w:szCs w:val="32"/>
          <w:highlight w:val="none"/>
          <w:lang w:val="en-US" w:eastAsia="zh-CN"/>
        </w:rPr>
      </w:pPr>
      <w:r>
        <w:rPr>
          <w:rFonts w:hint="eastAsia" w:ascii="楷体" w:hAnsi="楷体" w:eastAsia="楷体" w:cs="方正小标宋简体"/>
          <w:bCs/>
          <w:sz w:val="32"/>
          <w:szCs w:val="32"/>
          <w:highlight w:val="none"/>
        </w:rPr>
        <w:t>（</w:t>
      </w:r>
      <w:r>
        <w:rPr>
          <w:rFonts w:hint="eastAsia" w:ascii="仿宋_GB2312" w:hAnsi="宋体" w:eastAsia="仿宋_GB2312"/>
          <w:sz w:val="32"/>
          <w:szCs w:val="32"/>
          <w:highlight w:val="none"/>
          <w:lang w:eastAsia="zh-CN"/>
        </w:rPr>
        <w:t>一</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指导单位：XXXXX</w:t>
      </w:r>
    </w:p>
    <w:p>
      <w:pPr>
        <w:spacing w:line="360" w:lineRule="auto"/>
        <w:ind w:firstLine="640" w:firstLineChars="20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二</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主办单位：</w:t>
      </w:r>
      <w:r>
        <w:rPr>
          <w:rFonts w:hint="eastAsia" w:ascii="仿宋_GB2312" w:hAnsi="宋体" w:eastAsia="仿宋_GB2312"/>
          <w:sz w:val="32"/>
          <w:szCs w:val="32"/>
          <w:highlight w:val="none"/>
          <w:lang w:val="en-US" w:eastAsia="zh-CN"/>
        </w:rPr>
        <w:t>XXXXX</w:t>
      </w:r>
    </w:p>
    <w:p>
      <w:pPr>
        <w:numPr>
          <w:ilvl w:val="-1"/>
          <w:numId w:val="0"/>
        </w:numPr>
        <w:spacing w:line="360" w:lineRule="auto"/>
        <w:ind w:firstLine="640" w:firstLineChars="200"/>
        <w:jc w:val="both"/>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三</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承办单位：</w:t>
      </w:r>
      <w:r>
        <w:rPr>
          <w:rFonts w:hint="eastAsia" w:ascii="仿宋_GB2312" w:hAnsi="宋体" w:eastAsia="仿宋_GB2312"/>
          <w:sz w:val="32"/>
          <w:szCs w:val="32"/>
          <w:highlight w:val="none"/>
          <w:lang w:val="en-US" w:eastAsia="zh-CN"/>
        </w:rPr>
        <w:t>XXXXX</w:t>
      </w:r>
    </w:p>
    <w:p>
      <w:pPr>
        <w:spacing w:line="360" w:lineRule="auto"/>
        <w:ind w:firstLine="640" w:firstLineChars="200"/>
        <w:jc w:val="both"/>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四</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协办</w:t>
      </w:r>
      <w:r>
        <w:rPr>
          <w:rFonts w:hint="eastAsia" w:ascii="仿宋_GB2312" w:hAnsi="宋体" w:eastAsia="仿宋_GB2312"/>
          <w:sz w:val="32"/>
          <w:szCs w:val="32"/>
          <w:highlight w:val="none"/>
        </w:rPr>
        <w:t>单位：</w:t>
      </w:r>
      <w:r>
        <w:rPr>
          <w:rFonts w:hint="eastAsia" w:ascii="仿宋_GB2312" w:hAnsi="宋体" w:eastAsia="仿宋_GB2312"/>
          <w:sz w:val="32"/>
          <w:szCs w:val="32"/>
          <w:highlight w:val="none"/>
          <w:lang w:val="en-US" w:eastAsia="zh-CN"/>
        </w:rPr>
        <w:t>XXXXX</w:t>
      </w:r>
    </w:p>
    <w:p>
      <w:pPr>
        <w:pStyle w:val="3"/>
        <w:numPr>
          <w:ilvl w:val="0"/>
          <w:numId w:val="0"/>
        </w:numPr>
        <w:spacing w:line="596" w:lineRule="exact"/>
        <w:ind w:left="562" w:leftChars="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二、赛事概况</w:t>
      </w:r>
    </w:p>
    <w:p>
      <w:pPr>
        <w:numPr>
          <w:ilvl w:val="0"/>
          <w:numId w:val="1"/>
        </w:numPr>
        <w:spacing w:line="600" w:lineRule="exact"/>
        <w:ind w:firstLine="640"/>
        <w:rPr>
          <w:rFonts w:hint="eastAsia" w:ascii="Times New Roman" w:hAnsi="Times New Roman" w:eastAsia="楷体_GB2312" w:cs="Times New Roman"/>
          <w:b w:val="0"/>
          <w:bCs w:val="0"/>
          <w:sz w:val="32"/>
          <w:szCs w:val="32"/>
          <w:highlight w:val="none"/>
          <w:lang w:eastAsia="zh-CN"/>
        </w:rPr>
      </w:pPr>
      <w:r>
        <w:rPr>
          <w:rFonts w:hint="eastAsia" w:ascii="Times New Roman" w:hAnsi="Times New Roman" w:eastAsia="楷体_GB2312" w:cs="Times New Roman"/>
          <w:b w:val="0"/>
          <w:bCs w:val="0"/>
          <w:sz w:val="32"/>
          <w:szCs w:val="32"/>
          <w:highlight w:val="none"/>
          <w:lang w:eastAsia="zh-CN"/>
        </w:rPr>
        <w:t>赛事名称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Times New Roman" w:hAnsi="Times New Roman" w:eastAsia="仿宋_GB2312" w:cs="Times New Roman"/>
          <w:b w:val="0"/>
          <w:bCs w:val="0"/>
          <w:sz w:val="32"/>
          <w:szCs w:val="32"/>
          <w:highlight w:val="none"/>
          <w:lang w:eastAsia="zh-CN"/>
        </w:rPr>
      </w:pPr>
      <w:r>
        <w:rPr>
          <w:rFonts w:hint="eastAsia" w:ascii="仿宋_GB2312" w:hAnsi="宋体" w:eastAsia="仿宋_GB2312"/>
          <w:sz w:val="32"/>
          <w:szCs w:val="32"/>
          <w:highlight w:val="none"/>
          <w:lang w:val="en-US" w:eastAsia="zh-CN"/>
        </w:rPr>
        <w:t>XXXXX</w:t>
      </w:r>
    </w:p>
    <w:p>
      <w:pPr>
        <w:numPr>
          <w:ilvl w:val="0"/>
          <w:numId w:val="1"/>
        </w:numPr>
        <w:spacing w:line="600" w:lineRule="exact"/>
        <w:ind w:firstLine="640"/>
        <w:rPr>
          <w:rFonts w:hint="eastAsia" w:ascii="Times New Roman" w:hAnsi="Times New Roman" w:eastAsia="楷体_GB2312" w:cs="Times New Roman"/>
          <w:b w:val="0"/>
          <w:bCs w:val="0"/>
          <w:sz w:val="32"/>
          <w:szCs w:val="32"/>
          <w:highlight w:val="none"/>
          <w:lang w:eastAsia="zh-CN"/>
        </w:rPr>
      </w:pPr>
      <w:r>
        <w:rPr>
          <w:rFonts w:hint="eastAsia" w:ascii="Times New Roman" w:hAnsi="Times New Roman" w:eastAsia="楷体_GB2312" w:cs="Times New Roman"/>
          <w:b w:val="0"/>
          <w:bCs w:val="0"/>
          <w:sz w:val="32"/>
          <w:szCs w:val="32"/>
          <w:highlight w:val="none"/>
          <w:lang w:eastAsia="zh-CN"/>
        </w:rPr>
        <w:t>赛事时间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Times New Roman" w:hAnsi="Times New Roman" w:eastAsia="楷体_GB2312" w:cs="Times New Roman"/>
          <w:b/>
          <w:bCs/>
          <w:sz w:val="32"/>
          <w:szCs w:val="32"/>
          <w:highlight w:val="none"/>
          <w:lang w:eastAsia="zh-CN"/>
        </w:rPr>
      </w:pPr>
      <w:r>
        <w:rPr>
          <w:rFonts w:hint="eastAsia" w:ascii="仿宋_GB2312" w:hAnsi="宋体" w:eastAsia="仿宋_GB2312"/>
          <w:sz w:val="32"/>
          <w:szCs w:val="32"/>
          <w:highlight w:val="none"/>
          <w:lang w:val="en-US" w:eastAsia="zh-CN"/>
        </w:rPr>
        <w:t>XXXX</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XX月XX日</w:t>
      </w:r>
    </w:p>
    <w:p>
      <w:pPr>
        <w:numPr>
          <w:ilvl w:val="0"/>
          <w:numId w:val="1"/>
        </w:numPr>
        <w:spacing w:line="600" w:lineRule="exact"/>
        <w:ind w:firstLine="640"/>
        <w:rPr>
          <w:rFonts w:hint="eastAsia" w:ascii="Times New Roman" w:hAnsi="Times New Roman" w:eastAsia="楷体_GB2312" w:cs="Times New Roman"/>
          <w:b w:val="0"/>
          <w:bCs w:val="0"/>
          <w:sz w:val="32"/>
          <w:szCs w:val="32"/>
          <w:highlight w:val="none"/>
          <w:lang w:eastAsia="zh-CN"/>
        </w:rPr>
      </w:pPr>
      <w:r>
        <w:rPr>
          <w:rFonts w:hint="eastAsia" w:ascii="Times New Roman" w:hAnsi="Times New Roman" w:eastAsia="楷体_GB2312" w:cs="Times New Roman"/>
          <w:b w:val="0"/>
          <w:bCs w:val="0"/>
          <w:sz w:val="32"/>
          <w:szCs w:val="32"/>
          <w:highlight w:val="none"/>
          <w:lang w:eastAsia="zh-CN"/>
        </w:rPr>
        <w:t>赛事地点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XXXXX</w:t>
      </w:r>
    </w:p>
    <w:p>
      <w:pPr>
        <w:numPr>
          <w:ilvl w:val="0"/>
          <w:numId w:val="1"/>
        </w:numPr>
        <w:spacing w:line="600" w:lineRule="exact"/>
        <w:ind w:firstLine="640"/>
        <w:rPr>
          <w:rFonts w:ascii="仿宋_GB2312" w:hAnsi="宋体" w:eastAsia="仿宋_GB2312"/>
          <w:b w:val="0"/>
          <w:bCs w:val="0"/>
          <w:sz w:val="32"/>
          <w:szCs w:val="32"/>
          <w:highlight w:val="none"/>
        </w:rPr>
      </w:pPr>
      <w:r>
        <w:rPr>
          <w:rFonts w:hint="eastAsia" w:ascii="Times New Roman" w:hAnsi="Times New Roman" w:eastAsia="楷体_GB2312" w:cs="Times New Roman"/>
          <w:b w:val="0"/>
          <w:bCs w:val="0"/>
          <w:sz w:val="32"/>
          <w:szCs w:val="32"/>
          <w:highlight w:val="none"/>
          <w:lang w:eastAsia="zh-CN"/>
        </w:rPr>
        <w:t>参赛单位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XXXXX</w:t>
      </w:r>
    </w:p>
    <w:p>
      <w:pPr>
        <w:numPr>
          <w:ilvl w:val="0"/>
          <w:numId w:val="1"/>
        </w:numPr>
        <w:spacing w:line="600" w:lineRule="exact"/>
        <w:ind w:firstLine="640"/>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赛事规模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约XXX人</w:t>
      </w:r>
    </w:p>
    <w:p>
      <w:pPr>
        <w:pStyle w:val="3"/>
        <w:numPr>
          <w:ilvl w:val="0"/>
          <w:numId w:val="0"/>
        </w:numPr>
        <w:spacing w:line="596" w:lineRule="exact"/>
        <w:ind w:left="562" w:leftChars="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三、日程安排</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258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3" w:type="dxa"/>
            <w:vAlign w:val="center"/>
          </w:tcPr>
          <w:p>
            <w:pPr>
              <w:autoSpaceDE w:val="0"/>
              <w:autoSpaceDN w:val="0"/>
              <w:spacing w:line="600" w:lineRule="exact"/>
              <w:jc w:val="center"/>
              <w:rPr>
                <w:rFonts w:ascii="仿宋" w:hAnsi="仿宋" w:eastAsia="仿宋" w:cs="仿宋"/>
                <w:bCs/>
                <w:color w:val="auto"/>
                <w:sz w:val="32"/>
                <w:szCs w:val="32"/>
                <w:highlight w:val="none"/>
                <w:lang w:val="zh-CN"/>
              </w:rPr>
            </w:pPr>
            <w:r>
              <w:rPr>
                <w:rFonts w:hint="eastAsia" w:ascii="仿宋" w:hAnsi="仿宋" w:eastAsia="仿宋" w:cs="仿宋"/>
                <w:bCs/>
                <w:color w:val="auto"/>
                <w:sz w:val="32"/>
                <w:szCs w:val="32"/>
                <w:highlight w:val="none"/>
                <w:lang w:val="zh-CN"/>
              </w:rPr>
              <w:t>日期</w:t>
            </w:r>
          </w:p>
        </w:tc>
        <w:tc>
          <w:tcPr>
            <w:tcW w:w="2586" w:type="dxa"/>
            <w:vAlign w:val="center"/>
          </w:tcPr>
          <w:p>
            <w:pPr>
              <w:autoSpaceDE w:val="0"/>
              <w:autoSpaceDN w:val="0"/>
              <w:spacing w:line="600" w:lineRule="exact"/>
              <w:jc w:val="center"/>
              <w:rPr>
                <w:rFonts w:ascii="仿宋" w:hAnsi="仿宋" w:eastAsia="仿宋" w:cs="仿宋"/>
                <w:bCs/>
                <w:color w:val="auto"/>
                <w:sz w:val="32"/>
                <w:szCs w:val="32"/>
                <w:highlight w:val="none"/>
                <w:lang w:val="zh-CN"/>
              </w:rPr>
            </w:pPr>
            <w:r>
              <w:rPr>
                <w:rFonts w:hint="eastAsia" w:ascii="仿宋" w:hAnsi="仿宋" w:eastAsia="仿宋" w:cs="仿宋"/>
                <w:bCs/>
                <w:color w:val="auto"/>
                <w:sz w:val="32"/>
                <w:szCs w:val="32"/>
                <w:highlight w:val="none"/>
                <w:lang w:val="zh-CN"/>
              </w:rPr>
              <w:t>时间</w:t>
            </w:r>
          </w:p>
        </w:tc>
        <w:tc>
          <w:tcPr>
            <w:tcW w:w="4394" w:type="dxa"/>
            <w:vAlign w:val="center"/>
          </w:tcPr>
          <w:p>
            <w:pPr>
              <w:autoSpaceDE w:val="0"/>
              <w:autoSpaceDN w:val="0"/>
              <w:spacing w:line="600" w:lineRule="exact"/>
              <w:jc w:val="center"/>
              <w:rPr>
                <w:rFonts w:ascii="仿宋" w:hAnsi="仿宋" w:eastAsia="仿宋" w:cs="仿宋"/>
                <w:bCs/>
                <w:color w:val="auto"/>
                <w:sz w:val="32"/>
                <w:szCs w:val="32"/>
                <w:highlight w:val="none"/>
                <w:lang w:val="zh-CN"/>
              </w:rPr>
            </w:pPr>
            <w:r>
              <w:rPr>
                <w:rFonts w:hint="eastAsia" w:ascii="仿宋" w:hAnsi="仿宋" w:eastAsia="仿宋" w:cs="仿宋"/>
                <w:bCs/>
                <w:color w:val="auto"/>
                <w:sz w:val="32"/>
                <w:szCs w:val="32"/>
                <w:highlight w:val="none"/>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3" w:type="dxa"/>
            <w:vAlign w:val="center"/>
          </w:tcPr>
          <w:p>
            <w:pPr>
              <w:autoSpaceDE w:val="0"/>
              <w:autoSpaceDN w:val="0"/>
              <w:spacing w:line="600" w:lineRule="exact"/>
              <w:rPr>
                <w:rFonts w:ascii="仿宋" w:hAnsi="仿宋" w:eastAsia="仿宋" w:cs="仿宋"/>
                <w:bCs/>
                <w:color w:val="auto"/>
                <w:sz w:val="32"/>
                <w:szCs w:val="32"/>
                <w:highlight w:val="none"/>
                <w:lang w:val="zh-CN"/>
              </w:rPr>
            </w:pPr>
            <w:r>
              <w:rPr>
                <w:rFonts w:hint="eastAsia" w:ascii="仿宋" w:hAnsi="仿宋" w:eastAsia="仿宋" w:cs="仿宋"/>
                <w:bCs/>
                <w:color w:val="auto"/>
                <w:sz w:val="32"/>
                <w:szCs w:val="32"/>
                <w:highlight w:val="none"/>
                <w:lang w:val="en-US" w:eastAsia="zh-CN"/>
              </w:rPr>
              <w:t>XX</w:t>
            </w:r>
            <w:r>
              <w:rPr>
                <w:rFonts w:hint="eastAsia" w:ascii="仿宋" w:hAnsi="仿宋" w:eastAsia="仿宋" w:cs="仿宋"/>
                <w:bCs/>
                <w:color w:val="auto"/>
                <w:sz w:val="32"/>
                <w:szCs w:val="32"/>
                <w:highlight w:val="none"/>
                <w:lang w:val="zh-CN"/>
              </w:rPr>
              <w:t>月</w:t>
            </w:r>
            <w:r>
              <w:rPr>
                <w:rFonts w:hint="eastAsia" w:ascii="仿宋" w:hAnsi="仿宋" w:eastAsia="仿宋" w:cs="仿宋"/>
                <w:bCs/>
                <w:color w:val="auto"/>
                <w:sz w:val="32"/>
                <w:szCs w:val="32"/>
                <w:highlight w:val="none"/>
                <w:lang w:val="en-US" w:eastAsia="zh-CN"/>
              </w:rPr>
              <w:t>XX</w:t>
            </w:r>
            <w:r>
              <w:rPr>
                <w:rFonts w:hint="eastAsia" w:ascii="仿宋" w:hAnsi="仿宋" w:eastAsia="仿宋" w:cs="仿宋"/>
                <w:bCs/>
                <w:color w:val="auto"/>
                <w:sz w:val="32"/>
                <w:szCs w:val="32"/>
                <w:highlight w:val="none"/>
                <w:lang w:val="zh-CN"/>
              </w:rPr>
              <w:t>日</w:t>
            </w:r>
          </w:p>
        </w:tc>
        <w:tc>
          <w:tcPr>
            <w:tcW w:w="2586" w:type="dxa"/>
            <w:vAlign w:val="center"/>
          </w:tcPr>
          <w:p>
            <w:pPr>
              <w:autoSpaceDE w:val="0"/>
              <w:autoSpaceDN w:val="0"/>
              <w:spacing w:line="600" w:lineRule="exact"/>
              <w:rPr>
                <w:rFonts w:ascii="仿宋" w:hAnsi="仿宋" w:eastAsia="仿宋" w:cs="仿宋"/>
                <w:bCs/>
                <w:color w:val="auto"/>
                <w:sz w:val="32"/>
                <w:szCs w:val="32"/>
                <w:highlight w:val="none"/>
                <w:lang w:val="zh-CN"/>
              </w:rPr>
            </w:pPr>
          </w:p>
        </w:tc>
        <w:tc>
          <w:tcPr>
            <w:tcW w:w="4394" w:type="dxa"/>
            <w:vAlign w:val="center"/>
          </w:tcPr>
          <w:p>
            <w:pPr>
              <w:autoSpaceDE w:val="0"/>
              <w:autoSpaceDN w:val="0"/>
              <w:spacing w:line="600" w:lineRule="exact"/>
              <w:rPr>
                <w:rFonts w:ascii="仿宋" w:hAnsi="仿宋" w:eastAsia="仿宋" w:cs="仿宋"/>
                <w:bCs/>
                <w:color w:val="auto"/>
                <w:sz w:val="32"/>
                <w:szCs w:val="3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1633" w:type="dxa"/>
            <w:vAlign w:val="center"/>
          </w:tcPr>
          <w:p>
            <w:pPr>
              <w:autoSpaceDE w:val="0"/>
              <w:autoSpaceDN w:val="0"/>
              <w:spacing w:line="600" w:lineRule="exact"/>
              <w:rPr>
                <w:rFonts w:ascii="仿宋" w:hAnsi="仿宋" w:eastAsia="仿宋" w:cs="仿宋"/>
                <w:bCs/>
                <w:color w:val="auto"/>
                <w:sz w:val="32"/>
                <w:szCs w:val="32"/>
                <w:highlight w:val="none"/>
                <w:lang w:val="zh-CN"/>
              </w:rPr>
            </w:pPr>
            <w:r>
              <w:rPr>
                <w:rFonts w:hint="eastAsia" w:ascii="仿宋" w:hAnsi="仿宋" w:eastAsia="仿宋" w:cs="仿宋"/>
                <w:bCs/>
                <w:color w:val="auto"/>
                <w:sz w:val="32"/>
                <w:szCs w:val="32"/>
                <w:highlight w:val="none"/>
                <w:lang w:val="en-US" w:eastAsia="zh-CN"/>
              </w:rPr>
              <w:t>XX</w:t>
            </w:r>
            <w:r>
              <w:rPr>
                <w:rFonts w:hint="eastAsia" w:ascii="仿宋" w:hAnsi="仿宋" w:eastAsia="仿宋" w:cs="仿宋"/>
                <w:bCs/>
                <w:color w:val="auto"/>
                <w:sz w:val="32"/>
                <w:szCs w:val="32"/>
                <w:highlight w:val="none"/>
                <w:lang w:val="zh-CN"/>
              </w:rPr>
              <w:t>月</w:t>
            </w:r>
            <w:r>
              <w:rPr>
                <w:rFonts w:hint="eastAsia" w:ascii="仿宋" w:hAnsi="仿宋" w:eastAsia="仿宋" w:cs="仿宋"/>
                <w:bCs/>
                <w:color w:val="auto"/>
                <w:sz w:val="32"/>
                <w:szCs w:val="32"/>
                <w:highlight w:val="none"/>
                <w:lang w:val="en-US" w:eastAsia="zh-CN"/>
              </w:rPr>
              <w:t>XX</w:t>
            </w:r>
            <w:r>
              <w:rPr>
                <w:rFonts w:hint="eastAsia" w:ascii="仿宋" w:hAnsi="仿宋" w:eastAsia="仿宋" w:cs="仿宋"/>
                <w:bCs/>
                <w:color w:val="auto"/>
                <w:sz w:val="32"/>
                <w:szCs w:val="32"/>
                <w:highlight w:val="none"/>
                <w:lang w:val="zh-CN"/>
              </w:rPr>
              <w:t>日</w:t>
            </w:r>
          </w:p>
        </w:tc>
        <w:tc>
          <w:tcPr>
            <w:tcW w:w="2586" w:type="dxa"/>
            <w:vAlign w:val="center"/>
          </w:tcPr>
          <w:p>
            <w:pPr>
              <w:autoSpaceDE w:val="0"/>
              <w:autoSpaceDN w:val="0"/>
              <w:spacing w:line="600" w:lineRule="exact"/>
              <w:rPr>
                <w:rFonts w:ascii="仿宋" w:hAnsi="仿宋" w:eastAsia="仿宋" w:cs="仿宋"/>
                <w:bCs/>
                <w:color w:val="auto"/>
                <w:sz w:val="32"/>
                <w:szCs w:val="32"/>
                <w:highlight w:val="none"/>
                <w:lang w:val="zh-CN"/>
              </w:rPr>
            </w:pPr>
          </w:p>
        </w:tc>
        <w:tc>
          <w:tcPr>
            <w:tcW w:w="4394" w:type="dxa"/>
            <w:vAlign w:val="center"/>
          </w:tcPr>
          <w:p>
            <w:pPr>
              <w:autoSpaceDE w:val="0"/>
              <w:autoSpaceDN w:val="0"/>
              <w:spacing w:line="600" w:lineRule="exact"/>
              <w:rPr>
                <w:rFonts w:ascii="仿宋" w:hAnsi="仿宋" w:eastAsia="仿宋" w:cs="仿宋"/>
                <w:bCs/>
                <w:color w:val="auto"/>
                <w:sz w:val="32"/>
                <w:szCs w:val="3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3" w:type="dxa"/>
            <w:vAlign w:val="center"/>
          </w:tcPr>
          <w:p>
            <w:pPr>
              <w:autoSpaceDE w:val="0"/>
              <w:autoSpaceDN w:val="0"/>
              <w:spacing w:line="600" w:lineRule="exact"/>
              <w:rPr>
                <w:rFonts w:ascii="仿宋" w:hAnsi="仿宋" w:eastAsia="仿宋" w:cs="仿宋"/>
                <w:bCs/>
                <w:color w:val="auto"/>
                <w:sz w:val="32"/>
                <w:szCs w:val="32"/>
                <w:highlight w:val="none"/>
                <w:lang w:val="zh-CN"/>
              </w:rPr>
            </w:pPr>
            <w:r>
              <w:rPr>
                <w:rFonts w:hint="eastAsia" w:ascii="仿宋" w:hAnsi="仿宋" w:eastAsia="仿宋" w:cs="仿宋"/>
                <w:bCs/>
                <w:color w:val="auto"/>
                <w:sz w:val="32"/>
                <w:szCs w:val="32"/>
                <w:highlight w:val="none"/>
                <w:lang w:val="en-US" w:eastAsia="zh-CN"/>
              </w:rPr>
              <w:t>XX</w:t>
            </w:r>
            <w:r>
              <w:rPr>
                <w:rFonts w:hint="eastAsia" w:ascii="仿宋" w:hAnsi="仿宋" w:eastAsia="仿宋" w:cs="仿宋"/>
                <w:bCs/>
                <w:color w:val="auto"/>
                <w:sz w:val="32"/>
                <w:szCs w:val="32"/>
                <w:highlight w:val="none"/>
                <w:lang w:val="zh-CN"/>
              </w:rPr>
              <w:t>月</w:t>
            </w:r>
            <w:r>
              <w:rPr>
                <w:rFonts w:hint="eastAsia" w:ascii="仿宋" w:hAnsi="仿宋" w:eastAsia="仿宋" w:cs="仿宋"/>
                <w:bCs/>
                <w:color w:val="auto"/>
                <w:sz w:val="32"/>
                <w:szCs w:val="32"/>
                <w:highlight w:val="none"/>
                <w:lang w:val="en-US" w:eastAsia="zh-CN"/>
              </w:rPr>
              <w:t>XX</w:t>
            </w:r>
            <w:r>
              <w:rPr>
                <w:rFonts w:hint="eastAsia" w:ascii="仿宋" w:hAnsi="仿宋" w:eastAsia="仿宋" w:cs="仿宋"/>
                <w:bCs/>
                <w:color w:val="auto"/>
                <w:sz w:val="32"/>
                <w:szCs w:val="32"/>
                <w:highlight w:val="none"/>
                <w:lang w:val="zh-CN"/>
              </w:rPr>
              <w:t>日</w:t>
            </w:r>
          </w:p>
        </w:tc>
        <w:tc>
          <w:tcPr>
            <w:tcW w:w="2586" w:type="dxa"/>
            <w:vAlign w:val="center"/>
          </w:tcPr>
          <w:p>
            <w:pPr>
              <w:autoSpaceDE w:val="0"/>
              <w:autoSpaceDN w:val="0"/>
              <w:spacing w:line="600" w:lineRule="exact"/>
              <w:rPr>
                <w:rFonts w:ascii="仿宋" w:hAnsi="仿宋" w:eastAsia="仿宋" w:cs="仿宋"/>
                <w:bCs/>
                <w:color w:val="auto"/>
                <w:sz w:val="32"/>
                <w:szCs w:val="32"/>
                <w:highlight w:val="none"/>
                <w:lang w:val="zh-CN"/>
              </w:rPr>
            </w:pPr>
          </w:p>
        </w:tc>
        <w:tc>
          <w:tcPr>
            <w:tcW w:w="4394" w:type="dxa"/>
            <w:vAlign w:val="center"/>
          </w:tcPr>
          <w:p>
            <w:pPr>
              <w:autoSpaceDE w:val="0"/>
              <w:autoSpaceDN w:val="0"/>
              <w:spacing w:line="600" w:lineRule="exact"/>
              <w:rPr>
                <w:rFonts w:ascii="仿宋" w:hAnsi="仿宋" w:eastAsia="仿宋" w:cs="仿宋"/>
                <w:bCs/>
                <w:color w:val="auto"/>
                <w:sz w:val="32"/>
                <w:szCs w:val="32"/>
                <w:highlight w:val="none"/>
                <w:lang w:val="zh-CN"/>
              </w:rPr>
            </w:pPr>
          </w:p>
        </w:tc>
      </w:tr>
    </w:tbl>
    <w:p>
      <w:pPr>
        <w:autoSpaceDE w:val="0"/>
        <w:autoSpaceDN w:val="0"/>
        <w:spacing w:line="600" w:lineRule="exact"/>
        <w:ind w:firstLine="700" w:firstLineChars="250"/>
        <w:rPr>
          <w:rFonts w:ascii="仿宋" w:hAnsi="仿宋" w:eastAsia="仿宋"/>
          <w:sz w:val="32"/>
          <w:szCs w:val="32"/>
          <w:highlight w:val="none"/>
        </w:rPr>
      </w:pPr>
      <w:r>
        <w:rPr>
          <w:rFonts w:hint="eastAsia" w:ascii="仿宋" w:hAnsi="仿宋" w:eastAsia="仿宋" w:cs="仿宋"/>
          <w:sz w:val="28"/>
          <w:szCs w:val="28"/>
          <w:highlight w:val="none"/>
        </w:rPr>
        <w:t>注：组委会将会根据天气和其他情况随时调整各项比赛时间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轮次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顺序和进程，以届时通知为准。</w:t>
      </w:r>
    </w:p>
    <w:p>
      <w:pPr>
        <w:pStyle w:val="3"/>
        <w:numPr>
          <w:ilvl w:val="0"/>
          <w:numId w:val="0"/>
        </w:numPr>
        <w:spacing w:line="596" w:lineRule="exact"/>
        <w:ind w:left="562" w:leftChars="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四、组织委员会名单</w:t>
      </w:r>
    </w:p>
    <w:p>
      <w:pPr>
        <w:spacing w:line="600" w:lineRule="exact"/>
        <w:ind w:firstLine="640" w:firstLineChars="200"/>
        <w:rPr>
          <w:rFonts w:hint="eastAsia" w:ascii="仿宋_GB2312" w:hAnsi="仿宋_GB2312" w:eastAsia="仿宋_GB2312" w:cs="仿宋_GB2312"/>
          <w:bCs/>
          <w:iCs/>
          <w:sz w:val="32"/>
          <w:szCs w:val="32"/>
          <w:highlight w:val="none"/>
          <w:lang w:eastAsia="zh-CN"/>
        </w:rPr>
      </w:pPr>
      <w:r>
        <w:rPr>
          <w:rFonts w:hint="eastAsia" w:ascii="仿宋_GB2312" w:hAnsi="仿宋_GB2312" w:eastAsia="仿宋_GB2312" w:cs="仿宋_GB2312"/>
          <w:sz w:val="32"/>
          <w:szCs w:val="32"/>
          <w:highlight w:val="none"/>
        </w:rPr>
        <w:t xml:space="preserve">主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任：</w:t>
      </w:r>
      <w:r>
        <w:rPr>
          <w:rFonts w:hint="eastAsia" w:ascii="仿宋_GB2312" w:hAnsi="仿宋_GB2312" w:eastAsia="仿宋_GB2312" w:cs="仿宋_GB2312"/>
          <w:sz w:val="32"/>
          <w:szCs w:val="32"/>
          <w:highlight w:val="none"/>
          <w:lang w:val="en-US" w:eastAsia="zh-CN"/>
        </w:rPr>
        <w:t>姓 名</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职 务</w:t>
      </w:r>
    </w:p>
    <w:p>
      <w:pPr>
        <w:spacing w:line="600" w:lineRule="exact"/>
        <w:ind w:firstLine="640" w:firstLineChars="200"/>
        <w:rPr>
          <w:rFonts w:hint="eastAsia" w:ascii="仿宋_GB2312" w:hAnsi="仿宋_GB2312" w:eastAsia="仿宋_GB2312" w:cs="仿宋_GB2312"/>
          <w:bCs/>
          <w:iCs/>
          <w:sz w:val="32"/>
          <w:szCs w:val="32"/>
          <w:highlight w:val="none"/>
          <w:lang w:eastAsia="zh-CN"/>
        </w:rPr>
      </w:pPr>
      <w:r>
        <w:rPr>
          <w:rFonts w:hint="eastAsia" w:ascii="仿宋_GB2312" w:hAnsi="仿宋_GB2312" w:eastAsia="仿宋_GB2312" w:cs="仿宋_GB2312"/>
          <w:sz w:val="32"/>
          <w:szCs w:val="32"/>
          <w:highlight w:val="none"/>
        </w:rPr>
        <w:t>副 主 任：</w:t>
      </w:r>
      <w:r>
        <w:rPr>
          <w:rFonts w:hint="eastAsia" w:ascii="仿宋_GB2312" w:hAnsi="仿宋_GB2312" w:eastAsia="仿宋_GB2312" w:cs="仿宋_GB2312"/>
          <w:sz w:val="32"/>
          <w:szCs w:val="32"/>
          <w:highlight w:val="none"/>
          <w:lang w:val="en-US" w:eastAsia="zh-CN"/>
        </w:rPr>
        <w:t>姓 名</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职 务</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成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姓 名</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职 务</w:t>
      </w:r>
    </w:p>
    <w:p>
      <w:pPr>
        <w:spacing w:line="600" w:lineRule="exact"/>
        <w:ind w:left="638" w:leftChars="304"/>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pacing w:val="53"/>
          <w:kern w:val="0"/>
          <w:sz w:val="32"/>
          <w:szCs w:val="32"/>
          <w:highlight w:val="none"/>
          <w:fitText w:val="1600" w:id="2145531347"/>
        </w:rPr>
        <w:t>联系人</w:t>
      </w:r>
      <w:r>
        <w:rPr>
          <w:rFonts w:hint="eastAsia" w:ascii="仿宋_GB2312" w:hAnsi="仿宋_GB2312" w:eastAsia="仿宋_GB2312" w:cs="仿宋_GB2312"/>
          <w:spacing w:val="1"/>
          <w:kern w:val="0"/>
          <w:sz w:val="32"/>
          <w:szCs w:val="32"/>
          <w:highlight w:val="none"/>
          <w:fitText w:val="1600" w:id="2145531347"/>
        </w:rPr>
        <w:t>：</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pStyle w:val="3"/>
        <w:numPr>
          <w:ilvl w:val="0"/>
          <w:numId w:val="0"/>
        </w:numPr>
        <w:spacing w:line="596" w:lineRule="exact"/>
        <w:ind w:left="562" w:leftChars="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五、办事机构</w:t>
      </w:r>
    </w:p>
    <w:p>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组织委员会</w:t>
      </w:r>
      <w:r>
        <w:rPr>
          <w:rFonts w:hint="eastAsia" w:ascii="仿宋_GB2312" w:hAnsi="仿宋_GB2312" w:eastAsia="仿宋_GB2312" w:cs="仿宋_GB2312"/>
          <w:bCs/>
          <w:sz w:val="32"/>
          <w:szCs w:val="32"/>
          <w:highlight w:val="none"/>
        </w:rPr>
        <w:t>负责整个活动的组织、策划及方案审定，负责整个活动的统筹</w:t>
      </w:r>
      <w:r>
        <w:rPr>
          <w:rFonts w:hint="eastAsia" w:ascii="仿宋_GB2312" w:hAnsi="仿宋_GB2312" w:eastAsia="仿宋_GB2312" w:cs="仿宋_GB2312"/>
          <w:bCs/>
          <w:sz w:val="32"/>
          <w:szCs w:val="32"/>
          <w:highlight w:val="none"/>
          <w:lang w:eastAsia="zh-CN"/>
        </w:rPr>
        <w:t>及安全、赛风赛纪</w:t>
      </w:r>
      <w:r>
        <w:rPr>
          <w:rFonts w:hint="eastAsia" w:ascii="仿宋_GB2312" w:hAnsi="仿宋_GB2312" w:eastAsia="仿宋_GB2312" w:cs="仿宋_GB2312"/>
          <w:bCs/>
          <w:sz w:val="32"/>
          <w:szCs w:val="32"/>
          <w:highlight w:val="none"/>
        </w:rPr>
        <w:t>工作。</w:t>
      </w:r>
    </w:p>
    <w:p>
      <w:pPr>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lang w:val="en-US" w:eastAsia="zh-CN"/>
        </w:rPr>
        <w:t>根据具体工作需要，</w:t>
      </w:r>
      <w:r>
        <w:rPr>
          <w:rFonts w:hint="eastAsia" w:ascii="仿宋_GB2312" w:hAnsi="仿宋_GB2312" w:eastAsia="仿宋_GB2312" w:cs="仿宋_GB2312"/>
          <w:bCs/>
          <w:sz w:val="32"/>
          <w:szCs w:val="32"/>
          <w:highlight w:val="none"/>
          <w:lang w:eastAsia="zh-CN"/>
        </w:rPr>
        <w:t>下设</w:t>
      </w:r>
      <w:r>
        <w:rPr>
          <w:rFonts w:hint="eastAsia" w:ascii="仿宋_GB2312" w:hAnsi="仿宋_GB2312" w:eastAsia="仿宋_GB2312" w:cs="仿宋_GB2312"/>
          <w:sz w:val="32"/>
          <w:szCs w:val="32"/>
          <w:highlight w:val="none"/>
        </w:rPr>
        <w:t>组委会办公室、赛风赛纪及反兴奋剂工作组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竞赛和场地综合保障组、后勤保障组、安保交通保障组、医务食品安全保障组、宣传推介组、场地及环境卫生整治组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根据具体情况增减设组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Cs/>
          <w:sz w:val="32"/>
          <w:szCs w:val="32"/>
          <w:highlight w:val="none"/>
        </w:rPr>
        <w:t>人员组成及职责如下：</w:t>
      </w:r>
    </w:p>
    <w:p>
      <w:pPr>
        <w:spacing w:line="600" w:lineRule="exact"/>
        <w:ind w:firstLine="64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（一）办公室</w:t>
      </w:r>
    </w:p>
    <w:p>
      <w:pPr>
        <w:spacing w:line="60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主  任：</w:t>
      </w:r>
      <w:r>
        <w:rPr>
          <w:rFonts w:hint="eastAsia" w:ascii="仿宋_GB2312" w:hAnsi="仿宋_GB2312" w:eastAsia="仿宋_GB2312" w:cs="仿宋_GB2312"/>
          <w:sz w:val="32"/>
          <w:szCs w:val="32"/>
          <w:highlight w:val="none"/>
          <w:lang w:val="en-US" w:eastAsia="zh-CN"/>
        </w:rPr>
        <w:t>XXX</w:t>
      </w:r>
    </w:p>
    <w:p>
      <w:pPr>
        <w:spacing w:line="60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副主任：</w:t>
      </w:r>
      <w:r>
        <w:rPr>
          <w:rFonts w:hint="eastAsia" w:ascii="仿宋_GB2312" w:hAnsi="仿宋_GB2312" w:eastAsia="仿宋_GB2312" w:cs="仿宋_GB2312"/>
          <w:sz w:val="32"/>
          <w:szCs w:val="32"/>
          <w:highlight w:val="none"/>
          <w:lang w:val="en-US" w:eastAsia="zh-CN"/>
        </w:rPr>
        <w:t>XXX</w:t>
      </w:r>
    </w:p>
    <w:p>
      <w:pPr>
        <w:spacing w:line="600" w:lineRule="exact"/>
        <w:ind w:left="638" w:leftChars="304"/>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成  员：</w:t>
      </w:r>
      <w:r>
        <w:rPr>
          <w:rFonts w:hint="eastAsia" w:ascii="仿宋_GB2312" w:hAnsi="仿宋_GB2312" w:eastAsia="仿宋_GB2312" w:cs="仿宋_GB2312"/>
          <w:sz w:val="32"/>
          <w:szCs w:val="32"/>
          <w:highlight w:val="none"/>
          <w:lang w:val="en-US" w:eastAsia="zh-CN"/>
        </w:rPr>
        <w:t>XXX</w:t>
      </w:r>
    </w:p>
    <w:p>
      <w:pPr>
        <w:spacing w:line="600" w:lineRule="exact"/>
        <w:ind w:left="638" w:leftChars="304"/>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spacing w:line="600" w:lineRule="exact"/>
        <w:ind w:left="638" w:leftChars="304"/>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1.负责赛事的统筹协调工作，拟定组委会及各工作组的工作职责；</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2.负责汇总各工作组的工作计划（方案），拟定组委会工作日程安排和检查执行情况，做好联络、协调工作；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3.负责组委会相关会议的会务工作，督查各工作组的工作落实情况；</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4.负责确定邀请上级领导和嘉宾名单，制发邀请函，收集出席领导和嘉宾名单；</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5.负责组织上级领导和嘉宾参观；</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6.负责工作证、嘉宾证、媒体证、停车证、请柬等的制作及发放；</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7.负责邀请当地文化名人、体育名人、时尚达人参与活动；</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8.负责组委会来往公文的收发、处理、保管和归档；</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9.负责组委会有关文件资料的起草及活动期间的协调工作；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10.负责工作人员的抽调及工作安排；</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11.负责比赛活动相关手续的办理。</w:t>
      </w:r>
    </w:p>
    <w:p>
      <w:pPr>
        <w:spacing w:line="600" w:lineRule="exact"/>
        <w:ind w:firstLine="640"/>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（二）赛风赛纪及反兴奋剂工作组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主要职责：</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1.负责赛事整体赛风赛纪及反兴奋剂工作的监督指导，部署赛区赛风赛纪及反兴奋剂工作；</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2.负责及时传达上级关于赛风赛纪及反兴奋剂工作指示精神，督促落实有关要求；</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3.负责对接赛风赛纪及反兴奋剂工作的检查人员，全面配合赛风赛纪和反兴奋剂检查；</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4.组织召开赛区赛风赛纪及反兴奋剂工作会议，接收并处置赛区赛风赛纪及反兴奋剂相关投诉；</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5.全程密切关注赛事赛风赛纪情况，做好赛风赛纪及反兴奋剂工作总结。</w:t>
      </w:r>
    </w:p>
    <w:p>
      <w:pPr>
        <w:spacing w:line="600" w:lineRule="exact"/>
        <w:ind w:firstLine="64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三</w:t>
      </w:r>
      <w:r>
        <w:rPr>
          <w:rFonts w:hint="eastAsia" w:ascii="楷体_GB2312" w:hAnsi="楷体_GB2312" w:eastAsia="楷体_GB2312" w:cs="楷体_GB2312"/>
          <w:b w:val="0"/>
          <w:bCs w:val="0"/>
          <w:sz w:val="32"/>
          <w:szCs w:val="32"/>
          <w:highlight w:val="none"/>
        </w:rPr>
        <w:t>）竞赛和场地综合保障组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pStyle w:val="15"/>
        <w:spacing w:line="600" w:lineRule="exact"/>
        <w:ind w:left="315" w:leftChars="150" w:firstLine="320"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1.安排摄影专业人员到现场进行赛事拍摄（照片录像）记录；</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2.做好赛道规划、布置和做好主会场的布置等工作，确定嘉宾用餐区、嘉宾休息区，设立媒体休息区；做好赛事场地布置企业的采购工作；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3.负责做好赛区道路指引标识、比赛标识位置设定及安装； </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.负责赛事中心垃圾桶等设施配置和做好卫生清洁保洁工作；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.负责配合落实竞赛器材和运动员、工作人员服装；</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.负责比赛技术和有关工作的开展；</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.负责制作印刷比赛秩序册；</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.负责赛场布置及检查、验收；</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.负责颁奖的相关工作；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.负责督促相关单位对比赛区域的环境整治；</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.负责开、闭幕式位置的选定。</w:t>
      </w:r>
    </w:p>
    <w:p>
      <w:pPr>
        <w:spacing w:line="600" w:lineRule="exact"/>
        <w:ind w:firstLine="64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四</w:t>
      </w:r>
      <w:r>
        <w:rPr>
          <w:rFonts w:hint="eastAsia" w:ascii="楷体_GB2312" w:hAnsi="楷体_GB2312" w:eastAsia="楷体_GB2312" w:cs="楷体_GB2312"/>
          <w:b w:val="0"/>
          <w:bCs w:val="0"/>
          <w:sz w:val="32"/>
          <w:szCs w:val="32"/>
          <w:highlight w:val="none"/>
        </w:rPr>
        <w:t>）后勤保障组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1.负责制订活动期间保障经费预算方案；</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2.负责领导、嘉宾、裁判员和教练员等人员的签到及资料发放；</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3.负责领导、嘉宾、裁判员和教练员等人员的食宿、交通和活动安排；</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4.负责协助竞赛组做好赛场布置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防寒降暑物品放发</w:t>
      </w:r>
      <w:r>
        <w:rPr>
          <w:rFonts w:hint="eastAsia" w:ascii="仿宋_GB2312" w:hAnsi="仿宋_GB2312" w:eastAsia="仿宋_GB2312" w:cs="仿宋_GB2312"/>
          <w:sz w:val="32"/>
          <w:szCs w:val="32"/>
          <w:highlight w:val="none"/>
        </w:rPr>
        <w:t>及其他相关后勤保障工作。</w:t>
      </w:r>
    </w:p>
    <w:p>
      <w:pPr>
        <w:spacing w:line="600" w:lineRule="exact"/>
        <w:ind w:firstLine="64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五</w:t>
      </w:r>
      <w:r>
        <w:rPr>
          <w:rFonts w:hint="eastAsia" w:ascii="楷体_GB2312" w:hAnsi="楷体_GB2312" w:eastAsia="楷体_GB2312" w:cs="楷体_GB2312"/>
          <w:b w:val="0"/>
          <w:bCs w:val="0"/>
          <w:sz w:val="32"/>
          <w:szCs w:val="32"/>
          <w:highlight w:val="none"/>
        </w:rPr>
        <w:t>）安保交通保障组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1.负责制定安全应急预案和比赛期间主会场、赛区和运动员、技术官员驻地酒店等的安全保卫工作；</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2.负责对场地及相关搭建物和消防等设施设备、电源电路、消防通道的检查，确保安全方可开赛；</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.负责比赛现场交通管制、赛事指定道路的交通疏导工作和停车指引等工作； </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.负责做好赛时主会场各功能区域证件管理，穿行口控制，通行控制；</w:t>
      </w:r>
    </w:p>
    <w:p>
      <w:pPr>
        <w:ind w:firstLine="640" w:firstLineChars="200"/>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6"/>
          <w:sz w:val="32"/>
          <w:szCs w:val="32"/>
          <w:highlight w:val="none"/>
        </w:rPr>
        <w:t>负责按照竞赛技术要求封闭道路并提前发布相关信息</w:t>
      </w:r>
      <w:r>
        <w:rPr>
          <w:rFonts w:hint="eastAsia" w:ascii="仿宋_GB2312" w:hAnsi="仿宋_GB2312" w:eastAsia="仿宋_GB2312" w:cs="仿宋_GB2312"/>
          <w:spacing w:val="-6"/>
          <w:sz w:val="32"/>
          <w:szCs w:val="32"/>
          <w:highlight w:val="none"/>
          <w:lang w:eastAsia="zh-CN"/>
        </w:rPr>
        <w:t>；</w:t>
      </w:r>
    </w:p>
    <w:p>
      <w:pPr>
        <w:ind w:firstLine="640" w:firstLineChars="200"/>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.确定场停车场位置及数量，制定停车计划，保障赛事车辆和群众车辆的停放</w:t>
      </w:r>
      <w:r>
        <w:rPr>
          <w:rFonts w:hint="eastAsia" w:ascii="仿宋_GB2312" w:hAnsi="仿宋_GB2312" w:eastAsia="仿宋_GB2312" w:cs="仿宋_GB2312"/>
          <w:spacing w:val="-6"/>
          <w:sz w:val="32"/>
          <w:szCs w:val="32"/>
          <w:highlight w:val="none"/>
        </w:rPr>
        <w:t>设置应急通道和救护车转送路线等；</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.负责比赛场区不稳定人员排查，比赛区域的安全保卫工作和赛员出发通道和舞台区前方的秩序管控工作</w:t>
      </w:r>
      <w:r>
        <w:rPr>
          <w:rFonts w:hint="eastAsia" w:ascii="仿宋_GB2312" w:hAnsi="仿宋_GB2312" w:eastAsia="仿宋_GB2312" w:cs="仿宋_GB2312"/>
          <w:sz w:val="32"/>
          <w:szCs w:val="32"/>
          <w:highlight w:val="none"/>
          <w:lang w:eastAsia="zh-CN"/>
        </w:rPr>
        <w:t>；</w:t>
      </w:r>
    </w:p>
    <w:p>
      <w:pPr>
        <w:spacing w:line="60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保持与气象、地质部门的联系，做好恶劣天气的安全应对工作。</w:t>
      </w:r>
    </w:p>
    <w:p>
      <w:pPr>
        <w:spacing w:line="600" w:lineRule="exact"/>
        <w:ind w:firstLine="64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六</w:t>
      </w:r>
      <w:r>
        <w:rPr>
          <w:rFonts w:hint="eastAsia" w:ascii="楷体_GB2312" w:hAnsi="楷体_GB2312" w:eastAsia="楷体_GB2312" w:cs="楷体_GB2312"/>
          <w:b w:val="0"/>
          <w:bCs w:val="0"/>
          <w:sz w:val="32"/>
          <w:szCs w:val="32"/>
          <w:highlight w:val="none"/>
        </w:rPr>
        <w:t>）医务食品安全保障组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spacing w:line="60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1.制定医疗安全保障方案，负责比赛期间的现场医疗救护工作，在赛场设置若干救护点，并配备足够的救护车及医务人员；</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2.负责落实会场、赛场、酒店等卫生保健工作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人员健康监测工作</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3.负责配备相关药品及急救器材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rPr>
        <w:t>AED；</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协调</w:t>
      </w:r>
      <w:r>
        <w:rPr>
          <w:rFonts w:hint="eastAsia" w:ascii="仿宋_GB2312" w:hAnsi="仿宋_GB2312" w:eastAsia="仿宋_GB2312" w:cs="仿宋_GB2312"/>
          <w:sz w:val="32"/>
          <w:szCs w:val="32"/>
          <w:highlight w:val="none"/>
        </w:rPr>
        <w:t>备勤及收治医院</w:t>
      </w:r>
      <w:r>
        <w:rPr>
          <w:rFonts w:hint="eastAsia" w:ascii="仿宋_GB2312" w:hAnsi="仿宋_GB2312" w:eastAsia="仿宋_GB2312" w:cs="仿宋_GB2312"/>
          <w:sz w:val="32"/>
          <w:szCs w:val="32"/>
          <w:highlight w:val="none"/>
          <w:lang w:val="en-US" w:eastAsia="zh-CN"/>
        </w:rPr>
        <w:t>做好</w:t>
      </w:r>
      <w:r>
        <w:rPr>
          <w:rFonts w:hint="eastAsia" w:ascii="仿宋_GB2312" w:hAnsi="仿宋_GB2312" w:eastAsia="仿宋_GB2312" w:cs="仿宋_GB2312"/>
          <w:sz w:val="32"/>
          <w:szCs w:val="32"/>
          <w:highlight w:val="none"/>
        </w:rPr>
        <w:t>应对急危重伤病员的救治及可能发生的突发事件</w:t>
      </w:r>
      <w:r>
        <w:rPr>
          <w:rFonts w:hint="eastAsia" w:ascii="仿宋_GB2312" w:hAnsi="仿宋_GB2312" w:eastAsia="仿宋_GB2312" w:cs="仿宋_GB2312"/>
          <w:sz w:val="32"/>
          <w:szCs w:val="32"/>
          <w:highlight w:val="none"/>
          <w:lang w:val="en-US" w:eastAsia="zh-CN"/>
        </w:rPr>
        <w:t>的准备工作，确保</w:t>
      </w:r>
      <w:r>
        <w:rPr>
          <w:rFonts w:hint="eastAsia" w:ascii="仿宋_GB2312" w:hAnsi="仿宋_GB2312" w:eastAsia="仿宋_GB2312" w:cs="仿宋_GB2312"/>
          <w:sz w:val="32"/>
          <w:szCs w:val="32"/>
          <w:highlight w:val="none"/>
        </w:rPr>
        <w:t>医疗</w:t>
      </w:r>
      <w:r>
        <w:rPr>
          <w:rFonts w:hint="eastAsia" w:ascii="仿宋_GB2312" w:hAnsi="仿宋_GB2312" w:eastAsia="仿宋_GB2312" w:cs="仿宋_GB2312"/>
          <w:sz w:val="32"/>
          <w:szCs w:val="32"/>
          <w:highlight w:val="none"/>
          <w:lang w:val="en-US" w:eastAsia="zh-CN"/>
        </w:rPr>
        <w:t>的有效</w:t>
      </w:r>
      <w:r>
        <w:rPr>
          <w:rFonts w:hint="eastAsia" w:ascii="仿宋_GB2312" w:hAnsi="仿宋_GB2312" w:eastAsia="仿宋_GB2312" w:cs="仿宋_GB2312"/>
          <w:sz w:val="32"/>
          <w:szCs w:val="32"/>
          <w:highlight w:val="none"/>
        </w:rPr>
        <w:t>调度；</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.负责对嘉宾、媒体、运动员、技术官员等下榻宾馆酒店食品卫生环境的监督检查，确保饮食安全。</w:t>
      </w:r>
    </w:p>
    <w:p>
      <w:pPr>
        <w:spacing w:line="600" w:lineRule="exact"/>
        <w:ind w:firstLine="64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七</w:t>
      </w:r>
      <w:r>
        <w:rPr>
          <w:rFonts w:hint="eastAsia" w:ascii="楷体_GB2312" w:hAnsi="楷体_GB2312" w:eastAsia="楷体_GB2312" w:cs="楷体_GB2312"/>
          <w:b w:val="0"/>
          <w:bCs w:val="0"/>
          <w:sz w:val="32"/>
          <w:szCs w:val="32"/>
          <w:highlight w:val="none"/>
        </w:rPr>
        <w:t>）宣传组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spacing w:line="60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w:t>
      </w:r>
    </w:p>
    <w:p>
      <w:pPr>
        <w:ind w:firstLine="640" w:firstLineChars="200"/>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pacing w:val="-6"/>
          <w:sz w:val="32"/>
          <w:szCs w:val="32"/>
          <w:highlight w:val="none"/>
        </w:rPr>
        <w:t>制订赛事宣传工作方案，开展赛事宣传，营造活动氛围；</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2.负责新闻通稿的起草，协调好新闻媒体采访、宣传报道，协助做好媒体单位的接待工作；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3.负责社会宣传资源协调，在主要路口制作室外宣传画和广告宣传，并安装道路指引标识，为赛事氛围营造；</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.负责组织开幕式暖场节目演出，落实主持人</w:t>
      </w:r>
      <w:r>
        <w:rPr>
          <w:rFonts w:hint="eastAsia" w:ascii="仿宋_GB2312" w:hAnsi="仿宋_GB2312" w:eastAsia="仿宋_GB2312" w:cs="仿宋_GB2312"/>
          <w:sz w:val="32"/>
          <w:szCs w:val="32"/>
          <w:highlight w:val="none"/>
          <w:lang w:val="en-US" w:eastAsia="zh-CN"/>
        </w:rPr>
        <w:t>等人员</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.负责挖掘推介</w:t>
      </w:r>
      <w:r>
        <w:rPr>
          <w:rFonts w:hint="eastAsia" w:ascii="仿宋_GB2312" w:hAnsi="仿宋_GB2312" w:eastAsia="仿宋_GB2312" w:cs="仿宋_GB2312"/>
          <w:sz w:val="32"/>
          <w:szCs w:val="32"/>
          <w:highlight w:val="none"/>
          <w:lang w:val="en-US" w:eastAsia="zh-CN"/>
        </w:rPr>
        <w:t>当地</w:t>
      </w:r>
      <w:r>
        <w:rPr>
          <w:rFonts w:hint="eastAsia" w:ascii="仿宋_GB2312" w:hAnsi="仿宋_GB2312" w:eastAsia="仿宋_GB2312" w:cs="仿宋_GB2312"/>
          <w:sz w:val="32"/>
          <w:szCs w:val="32"/>
          <w:highlight w:val="none"/>
        </w:rPr>
        <w:t>文化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体育等</w:t>
      </w:r>
      <w:r>
        <w:rPr>
          <w:rFonts w:hint="eastAsia" w:ascii="仿宋_GB2312" w:hAnsi="仿宋_GB2312" w:eastAsia="仿宋_GB2312" w:cs="仿宋_GB2312"/>
          <w:sz w:val="32"/>
          <w:szCs w:val="32"/>
          <w:highlight w:val="none"/>
          <w:lang w:val="en-US" w:eastAsia="zh-CN"/>
        </w:rPr>
        <w:t>元素，打造赛事特色；</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.制订领导、嘉宾参观线路，落实讲解员做好讲解</w:t>
      </w:r>
      <w:r>
        <w:rPr>
          <w:rFonts w:hint="eastAsia" w:ascii="仿宋_GB2312" w:hAnsi="仿宋_GB2312" w:eastAsia="仿宋_GB2312" w:cs="仿宋_GB2312"/>
          <w:sz w:val="32"/>
          <w:szCs w:val="32"/>
          <w:highlight w:val="none"/>
          <w:lang w:val="en-US" w:eastAsia="zh-CN"/>
        </w:rPr>
        <w:t>等；</w:t>
      </w:r>
    </w:p>
    <w:p>
      <w:pPr>
        <w:spacing w:line="600" w:lineRule="exact"/>
        <w:ind w:firstLine="640"/>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val="en-US" w:eastAsia="zh-CN"/>
        </w:rPr>
        <w:t>7.负责</w:t>
      </w:r>
      <w:r>
        <w:rPr>
          <w:rFonts w:hint="eastAsia" w:ascii="仿宋_GB2312" w:hAnsi="仿宋_GB2312" w:eastAsia="仿宋_GB2312" w:cs="仿宋_GB2312"/>
          <w:spacing w:val="-6"/>
          <w:sz w:val="32"/>
          <w:szCs w:val="32"/>
          <w:highlight w:val="none"/>
          <w:lang w:eastAsia="zh-CN"/>
        </w:rPr>
        <w:t>舆情的监督及应对工作。</w:t>
      </w:r>
    </w:p>
    <w:p>
      <w:pPr>
        <w:spacing w:line="600" w:lineRule="exact"/>
        <w:ind w:firstLine="64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八</w:t>
      </w:r>
      <w:r>
        <w:rPr>
          <w:rFonts w:hint="eastAsia" w:ascii="楷体_GB2312" w:hAnsi="楷体_GB2312" w:eastAsia="楷体_GB2312" w:cs="楷体_GB2312"/>
          <w:b w:val="0"/>
          <w:bCs w:val="0"/>
          <w:sz w:val="32"/>
          <w:szCs w:val="32"/>
          <w:highlight w:val="none"/>
        </w:rPr>
        <w:t>）场地及环境卫生整治组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spacing w:line="60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1.负责规划落实大赛各个功能区域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包括比赛区、展览</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区、展示区、颁奖区、医务处、休息区、停车区等； </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2.配合保障运营团队按照赛事标准使用比赛相关场地和主会场搭建等工作；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3.负责赛场临时公用厕所及爱心厕所的落实与设置，并做好卫生清洁保洁工作；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4.做好比赛区域环境卫生保洁工作；</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5.做好比赛线路维护，确保</w:t>
      </w:r>
      <w:r>
        <w:rPr>
          <w:rFonts w:hint="eastAsia" w:ascii="仿宋_GB2312" w:hAnsi="仿宋_GB2312" w:eastAsia="仿宋_GB2312" w:cs="仿宋_GB2312"/>
          <w:sz w:val="32"/>
          <w:szCs w:val="32"/>
          <w:highlight w:val="none"/>
          <w:lang w:val="en-US" w:eastAsia="zh-CN"/>
        </w:rPr>
        <w:t>畅通有序，</w:t>
      </w:r>
      <w:r>
        <w:rPr>
          <w:rFonts w:hint="eastAsia" w:ascii="仿宋_GB2312" w:hAnsi="仿宋_GB2312" w:eastAsia="仿宋_GB2312" w:cs="仿宋_GB2312"/>
          <w:sz w:val="32"/>
          <w:szCs w:val="32"/>
          <w:highlight w:val="none"/>
        </w:rPr>
        <w:t>路面平整</w:t>
      </w:r>
      <w:r>
        <w:rPr>
          <w:rFonts w:hint="eastAsia" w:ascii="仿宋_GB2312" w:hAnsi="仿宋_GB2312" w:eastAsia="仿宋_GB2312" w:cs="仿宋_GB2312"/>
          <w:sz w:val="32"/>
          <w:szCs w:val="32"/>
          <w:highlight w:val="none"/>
          <w:lang w:val="en-US" w:eastAsia="zh-CN"/>
        </w:rPr>
        <w:t>安全</w:t>
      </w:r>
      <w:r>
        <w:rPr>
          <w:rFonts w:hint="eastAsia" w:ascii="仿宋_GB2312" w:hAnsi="仿宋_GB2312" w:eastAsia="仿宋_GB2312" w:cs="仿宋_GB2312"/>
          <w:sz w:val="32"/>
          <w:szCs w:val="32"/>
          <w:highlight w:val="none"/>
          <w:lang w:eastAsia="zh-CN"/>
        </w:rPr>
        <w:t>。</w:t>
      </w:r>
    </w:p>
    <w:p>
      <w:pPr>
        <w:pStyle w:val="3"/>
        <w:numPr>
          <w:ilvl w:val="0"/>
          <w:numId w:val="0"/>
        </w:numPr>
        <w:spacing w:line="596" w:lineRule="exact"/>
        <w:ind w:left="562" w:leftChars="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六、工作要求</w:t>
      </w:r>
    </w:p>
    <w:p>
      <w:pPr>
        <w:spacing w:line="59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（一）高度重视，精心组织。各有关单位要高度重视，统一思想，提高认识，切实加强组织领导，确保本次活动的顺利开展。根据实际，突出工作重点，精心组织，实现活动效益最大化。</w:t>
      </w:r>
    </w:p>
    <w:p>
      <w:pPr>
        <w:spacing w:line="59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（二）做好防范，确保安全。各有关单位要牢固树立安全意识，全面评估、科学预判活动中的薄弱点和风险点，制定好应急预案，做到未雨绸缪、有备无患，确保活动顺利开展。</w:t>
      </w:r>
    </w:p>
    <w:p>
      <w:pPr>
        <w:spacing w:line="59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（三）强化宣传，及时总结。按照方案，扎实开展活动，充分利用各类新媒体、政府门户网站、电视台等媒体平台，加强宣传推广，扩大活动影响力。</w:t>
      </w:r>
    </w:p>
    <w:p>
      <w:pPr>
        <w:pStyle w:val="3"/>
        <w:numPr>
          <w:ilvl w:val="0"/>
          <w:numId w:val="0"/>
        </w:numPr>
        <w:spacing w:line="596" w:lineRule="exact"/>
        <w:ind w:left="562" w:leftChars="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七、组委会联系方式</w:t>
      </w:r>
    </w:p>
    <w:p>
      <w:pPr>
        <w:pStyle w:val="16"/>
        <w:numPr>
          <w:ilvl w:val="0"/>
          <w:numId w:val="0"/>
        </w:numPr>
        <w:spacing w:line="59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 xml:space="preserve"> </w:t>
      </w:r>
    </w:p>
    <w:p>
      <w:pPr>
        <w:pStyle w:val="16"/>
        <w:numPr>
          <w:ilvl w:val="0"/>
          <w:numId w:val="0"/>
        </w:numPr>
        <w:spacing w:line="596" w:lineRule="exact"/>
        <w:ind w:firstLine="640" w:firstLineChars="20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2.电  话：XXX</w:t>
      </w:r>
    </w:p>
    <w:p>
      <w:pPr>
        <w:spacing w:line="596"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邮  箱：</w:t>
      </w:r>
      <w:r>
        <w:rPr>
          <w:rFonts w:hint="eastAsia" w:ascii="仿宋_GB2312" w:hAnsi="仿宋_GB2312" w:eastAsia="仿宋_GB2312" w:cs="仿宋_GB2312"/>
          <w:sz w:val="32"/>
          <w:szCs w:val="32"/>
          <w:highlight w:val="none"/>
          <w:lang w:val="en-US" w:eastAsia="zh-CN"/>
        </w:rPr>
        <w:t>XXX</w:t>
      </w:r>
    </w:p>
    <w:p>
      <w:pPr>
        <w:rPr>
          <w:rFonts w:hint="eastAsia" w:ascii="黑体" w:hAnsi="黑体" w:eastAsia="黑体" w:cs="黑体"/>
          <w:sz w:val="32"/>
          <w:szCs w:val="32"/>
        </w:rPr>
      </w:pPr>
      <w:r>
        <w:rPr>
          <w:rFonts w:hint="eastAsia" w:ascii="黑体" w:hAnsi="黑体" w:eastAsia="黑体" w:cs="黑体"/>
          <w:sz w:val="32"/>
          <w:szCs w:val="32"/>
        </w:rPr>
        <w:br w:type="page"/>
      </w:r>
    </w:p>
    <w:p>
      <w:pPr>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00" w:lineRule="exact"/>
        <w:jc w:val="center"/>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XXXXX赛事活动安保工作方案</w:t>
      </w:r>
    </w:p>
    <w:p>
      <w:pPr>
        <w:spacing w:line="600" w:lineRule="exact"/>
        <w:jc w:val="center"/>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（模板）</w:t>
      </w:r>
    </w:p>
    <w:p>
      <w:pPr>
        <w:rPr>
          <w:rFonts w:ascii="仿宋_GB2312" w:hAnsi="仿宋_GB2312" w:eastAsia="仿宋_GB2312" w:cs="仿宋_GB2312"/>
          <w:sz w:val="32"/>
          <w:szCs w:val="32"/>
        </w:rPr>
      </w:pPr>
    </w:p>
    <w:p>
      <w:pPr>
        <w:adjustRightInd w:val="0"/>
        <w:spacing w:line="360" w:lineRule="auto"/>
        <w:ind w:firstLine="640" w:firstLineChars="200"/>
        <w:rPr>
          <w:rFonts w:eastAsia="仿宋_GB2312"/>
          <w:bCs/>
          <w:kern w:val="0"/>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国家体育总局《体育赛事活动管理办法》（国家体育总局令第</w:t>
      </w:r>
      <w:r>
        <w:rPr>
          <w:rFonts w:hint="eastAsia" w:ascii="仿宋_GB2312" w:hAnsi="仿宋_GB2312" w:eastAsia="仿宋_GB2312" w:cs="仿宋_GB2312"/>
          <w:sz w:val="32"/>
          <w:szCs w:val="32"/>
          <w:lang w:val="en-US" w:eastAsia="zh-CN"/>
        </w:rPr>
        <w:t>31号</w:t>
      </w:r>
      <w:r>
        <w:rPr>
          <w:rFonts w:hint="eastAsia" w:ascii="仿宋_GB2312" w:hAnsi="仿宋_GB2312" w:eastAsia="仿宋_GB2312" w:cs="仿宋_GB2312"/>
          <w:sz w:val="32"/>
          <w:szCs w:val="32"/>
          <w:lang w:eastAsia="zh-CN"/>
        </w:rPr>
        <w:t>）和国家体育总局等</w:t>
      </w:r>
      <w:r>
        <w:rPr>
          <w:rFonts w:hint="eastAsia" w:ascii="仿宋_GB2312" w:hAnsi="仿宋_GB2312" w:eastAsia="仿宋_GB2312" w:cs="仿宋_GB2312"/>
          <w:sz w:val="32"/>
          <w:szCs w:val="32"/>
          <w:lang w:val="en-US" w:eastAsia="zh-CN"/>
        </w:rPr>
        <w:t>11部委《关于进一步加强体育赛事活动安全监管服务工作的意见》（体规字〔2021〕3号），以及</w:t>
      </w:r>
      <w:r>
        <w:rPr>
          <w:rFonts w:hint="eastAsia" w:ascii="仿宋_GB2312" w:hAnsi="仿宋_GB2312" w:eastAsia="仿宋_GB2312" w:cs="仿宋_GB2312"/>
          <w:sz w:val="32"/>
          <w:szCs w:val="32"/>
          <w:lang w:eastAsia="zh-CN"/>
        </w:rPr>
        <w:t>广东省体育局等十一部门</w:t>
      </w:r>
      <w:r>
        <w:rPr>
          <w:rFonts w:hint="eastAsia" w:ascii="仿宋_GB2312" w:hAnsi="仿宋_GB2312" w:eastAsia="仿宋_GB2312" w:cs="仿宋_GB2312"/>
          <w:sz w:val="32"/>
          <w:szCs w:val="32"/>
        </w:rPr>
        <w:t>《关于进一步加强广东省体育赛事活动安全监管服务工作的通知》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粤体规〔2022〕2号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等文件精神，</w:t>
      </w:r>
      <w:r>
        <w:rPr>
          <w:rFonts w:hAnsi="仿宋_GB2312" w:eastAsia="仿宋_GB2312"/>
          <w:bCs/>
          <w:kern w:val="0"/>
          <w:sz w:val="32"/>
          <w:szCs w:val="32"/>
        </w:rPr>
        <w:t>为了切实做好</w:t>
      </w:r>
      <w:r>
        <w:rPr>
          <w:rFonts w:hint="eastAsia" w:ascii="仿宋_GB2312" w:hAnsi="仿宋_GB2312" w:eastAsia="仿宋_GB2312" w:cs="仿宋_GB2312"/>
          <w:sz w:val="32"/>
          <w:szCs w:val="32"/>
          <w:lang w:eastAsia="zh-CN"/>
        </w:rPr>
        <w:t>XXXXX</w:t>
      </w:r>
      <w:r>
        <w:rPr>
          <w:rFonts w:hint="eastAsia" w:ascii="仿宋_GB2312" w:hAnsi="仿宋_GB2312" w:eastAsia="仿宋_GB2312" w:cs="仿宋_GB2312"/>
          <w:sz w:val="32"/>
          <w:szCs w:val="32"/>
          <w:lang w:val="en-US" w:eastAsia="zh-CN"/>
        </w:rPr>
        <w:t>赛</w:t>
      </w:r>
      <w:r>
        <w:rPr>
          <w:rFonts w:hint="eastAsia" w:hAnsi="仿宋_GB2312" w:eastAsia="仿宋_GB2312"/>
          <w:bCs/>
          <w:kern w:val="0"/>
          <w:sz w:val="32"/>
          <w:szCs w:val="32"/>
          <w:lang w:val="en-US" w:eastAsia="zh-CN"/>
        </w:rPr>
        <w:t>事活动</w:t>
      </w:r>
      <w:r>
        <w:rPr>
          <w:rFonts w:hAnsi="仿宋_GB2312" w:eastAsia="仿宋_GB2312"/>
          <w:bCs/>
          <w:kern w:val="0"/>
          <w:sz w:val="32"/>
          <w:szCs w:val="32"/>
        </w:rPr>
        <w:t>安全保卫工作，确保活动顺利、安全、有序进行，结合活动场地实际，制定本方案。</w:t>
      </w:r>
    </w:p>
    <w:p>
      <w:pPr>
        <w:adjustRightInd w:val="0"/>
        <w:spacing w:line="360" w:lineRule="auto"/>
        <w:ind w:firstLine="640" w:firstLineChars="200"/>
        <w:rPr>
          <w:rFonts w:ascii="黑体" w:hAnsi="黑体" w:eastAsia="黑体"/>
          <w:kern w:val="0"/>
          <w:sz w:val="32"/>
          <w:szCs w:val="32"/>
        </w:rPr>
      </w:pPr>
      <w:r>
        <w:rPr>
          <w:rFonts w:ascii="黑体" w:hAnsi="黑体" w:eastAsia="黑体"/>
          <w:bCs/>
          <w:kern w:val="0"/>
          <w:sz w:val="32"/>
          <w:szCs w:val="32"/>
        </w:rPr>
        <w:t>一、应急指挥部</w:t>
      </w:r>
    </w:p>
    <w:p>
      <w:pPr>
        <w:adjustRightInd w:val="0"/>
        <w:spacing w:line="360" w:lineRule="auto"/>
        <w:ind w:firstLine="640" w:firstLineChars="200"/>
        <w:rPr>
          <w:rFonts w:hAnsi="仿宋_GB2312" w:eastAsia="仿宋_GB2312"/>
          <w:bCs/>
          <w:kern w:val="0"/>
          <w:sz w:val="32"/>
          <w:szCs w:val="32"/>
        </w:rPr>
      </w:pPr>
      <w:r>
        <w:rPr>
          <w:rFonts w:hAnsi="仿宋_GB2312" w:eastAsia="仿宋_GB2312"/>
          <w:bCs/>
          <w:kern w:val="0"/>
          <w:sz w:val="32"/>
          <w:szCs w:val="32"/>
        </w:rPr>
        <w:t>总</w:t>
      </w:r>
      <w:r>
        <w:rPr>
          <w:rFonts w:hint="eastAsia" w:hAnsi="仿宋_GB2312" w:eastAsia="仿宋_GB2312"/>
          <w:bCs/>
          <w:kern w:val="0"/>
          <w:sz w:val="32"/>
          <w:szCs w:val="32"/>
        </w:rPr>
        <w:t xml:space="preserve"> </w:t>
      </w:r>
      <w:r>
        <w:rPr>
          <w:rFonts w:hAnsi="仿宋_GB2312" w:eastAsia="仿宋_GB2312"/>
          <w:bCs/>
          <w:kern w:val="0"/>
          <w:sz w:val="32"/>
          <w:szCs w:val="32"/>
        </w:rPr>
        <w:t>指</w:t>
      </w:r>
      <w:r>
        <w:rPr>
          <w:rFonts w:hint="eastAsia" w:hAnsi="仿宋_GB2312" w:eastAsia="仿宋_GB2312"/>
          <w:bCs/>
          <w:kern w:val="0"/>
          <w:sz w:val="32"/>
          <w:szCs w:val="32"/>
        </w:rPr>
        <w:t xml:space="preserve"> </w:t>
      </w:r>
      <w:r>
        <w:rPr>
          <w:rFonts w:hAnsi="仿宋_GB2312" w:eastAsia="仿宋_GB2312"/>
          <w:bCs/>
          <w:kern w:val="0"/>
          <w:sz w:val="32"/>
          <w:szCs w:val="32"/>
        </w:rPr>
        <w:t>挥：</w:t>
      </w:r>
    </w:p>
    <w:p>
      <w:pPr>
        <w:adjustRightInd w:val="0"/>
        <w:spacing w:line="360" w:lineRule="auto"/>
        <w:ind w:firstLine="640" w:firstLineChars="200"/>
        <w:rPr>
          <w:rFonts w:hAnsi="仿宋_GB2312" w:eastAsia="仿宋_GB2312"/>
          <w:bCs/>
          <w:kern w:val="0"/>
          <w:sz w:val="32"/>
          <w:szCs w:val="32"/>
        </w:rPr>
      </w:pPr>
      <w:r>
        <w:rPr>
          <w:rFonts w:hAnsi="仿宋_GB2312" w:eastAsia="仿宋_GB2312"/>
          <w:bCs/>
          <w:kern w:val="0"/>
          <w:sz w:val="32"/>
          <w:szCs w:val="32"/>
        </w:rPr>
        <w:t>副总指挥：</w:t>
      </w:r>
    </w:p>
    <w:p>
      <w:pPr>
        <w:adjustRightInd w:val="0"/>
        <w:spacing w:line="360" w:lineRule="auto"/>
        <w:ind w:firstLine="640" w:firstLineChars="200"/>
        <w:rPr>
          <w:rFonts w:hAnsi="仿宋_GB2312" w:eastAsia="仿宋_GB2312"/>
          <w:bCs/>
          <w:kern w:val="0"/>
          <w:sz w:val="32"/>
          <w:szCs w:val="32"/>
        </w:rPr>
      </w:pPr>
      <w:r>
        <w:rPr>
          <w:rFonts w:hint="eastAsia" w:hAnsi="仿宋_GB2312" w:eastAsia="仿宋_GB2312"/>
          <w:bCs/>
          <w:kern w:val="0"/>
          <w:sz w:val="32"/>
          <w:szCs w:val="32"/>
        </w:rPr>
        <w:t>指    挥：</w:t>
      </w:r>
    </w:p>
    <w:p>
      <w:pPr>
        <w:adjustRightInd w:val="0"/>
        <w:spacing w:line="360" w:lineRule="auto"/>
        <w:ind w:firstLine="640" w:firstLineChars="200"/>
        <w:rPr>
          <w:rFonts w:eastAsia="仿宋_GB2312"/>
          <w:kern w:val="0"/>
          <w:sz w:val="32"/>
          <w:szCs w:val="32"/>
        </w:rPr>
      </w:pPr>
      <w:r>
        <w:rPr>
          <w:rFonts w:hAnsi="仿宋_GB2312" w:eastAsia="仿宋_GB2312"/>
          <w:bCs/>
          <w:kern w:val="0"/>
          <w:sz w:val="32"/>
          <w:szCs w:val="32"/>
        </w:rPr>
        <w:t>指挥部下设</w:t>
      </w:r>
      <w:r>
        <w:rPr>
          <w:rFonts w:hint="eastAsia" w:ascii="仿宋_GB2312" w:hAnsi="仿宋_GB2312" w:eastAsia="仿宋_GB2312" w:cs="仿宋_GB2312"/>
          <w:sz w:val="32"/>
          <w:szCs w:val="32"/>
        </w:rPr>
        <w:t>3</w:t>
      </w:r>
      <w:r>
        <w:rPr>
          <w:rFonts w:hAnsi="仿宋_GB2312" w:eastAsia="仿宋_GB2312"/>
          <w:bCs/>
          <w:kern w:val="0"/>
          <w:sz w:val="32"/>
          <w:szCs w:val="32"/>
        </w:rPr>
        <w:t>个小组</w:t>
      </w:r>
      <w:r>
        <w:rPr>
          <w:rFonts w:hint="eastAsia" w:hAnsi="仿宋_GB2312" w:eastAsia="仿宋_GB2312"/>
          <w:bCs/>
          <w:kern w:val="0"/>
          <w:sz w:val="32"/>
          <w:szCs w:val="32"/>
        </w:rPr>
        <w:t>，</w:t>
      </w:r>
      <w:r>
        <w:rPr>
          <w:rFonts w:hAnsi="仿宋_GB2312" w:eastAsia="仿宋_GB2312"/>
          <w:bCs/>
          <w:kern w:val="0"/>
          <w:sz w:val="32"/>
          <w:szCs w:val="32"/>
        </w:rPr>
        <w:t>各小组成员和任务分工如下：</w:t>
      </w:r>
    </w:p>
    <w:p>
      <w:pPr>
        <w:adjustRightInd w:val="0"/>
        <w:spacing w:line="360" w:lineRule="auto"/>
        <w:ind w:firstLine="640" w:firstLineChars="200"/>
        <w:rPr>
          <w:rFonts w:ascii="楷体_GB2312" w:eastAsia="楷体_GB2312"/>
          <w:bCs/>
          <w:kern w:val="0"/>
          <w:sz w:val="32"/>
          <w:szCs w:val="32"/>
        </w:rPr>
      </w:pPr>
      <w:r>
        <w:rPr>
          <w:rFonts w:hint="eastAsia" w:ascii="楷体_GB2312" w:hAnsi="仿宋_GB2312" w:eastAsia="楷体_GB2312"/>
          <w:bCs/>
          <w:kern w:val="0"/>
          <w:sz w:val="32"/>
          <w:szCs w:val="32"/>
        </w:rPr>
        <w:t>（一）指挥组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adjustRightInd w:val="0"/>
        <w:spacing w:line="360" w:lineRule="auto"/>
        <w:ind w:firstLine="640" w:firstLineChars="200"/>
        <w:rPr>
          <w:rFonts w:eastAsia="仿宋_GB2312"/>
          <w:kern w:val="0"/>
          <w:sz w:val="32"/>
          <w:szCs w:val="32"/>
        </w:rPr>
      </w:pPr>
      <w:r>
        <w:rPr>
          <w:rFonts w:hAnsi="仿宋_GB2312" w:eastAsia="仿宋_GB2312"/>
          <w:bCs/>
          <w:kern w:val="0"/>
          <w:sz w:val="32"/>
          <w:szCs w:val="32"/>
        </w:rPr>
        <w:t>主要任务是制定</w:t>
      </w:r>
      <w:r>
        <w:rPr>
          <w:rFonts w:hint="eastAsia" w:hAnsi="仿宋_GB2312" w:eastAsia="仿宋_GB2312"/>
          <w:bCs/>
          <w:kern w:val="0"/>
          <w:sz w:val="32"/>
          <w:szCs w:val="32"/>
        </w:rPr>
        <w:t>安</w:t>
      </w:r>
      <w:r>
        <w:rPr>
          <w:rFonts w:hint="eastAsia" w:hAnsi="仿宋_GB2312" w:eastAsia="仿宋_GB2312"/>
          <w:bCs/>
          <w:kern w:val="0"/>
          <w:sz w:val="32"/>
          <w:szCs w:val="32"/>
          <w:lang w:eastAsia="zh-CN"/>
        </w:rPr>
        <w:t>全</w:t>
      </w:r>
      <w:r>
        <w:rPr>
          <w:rFonts w:hint="eastAsia" w:hAnsi="仿宋_GB2312" w:eastAsia="仿宋_GB2312"/>
          <w:bCs/>
          <w:kern w:val="0"/>
          <w:sz w:val="32"/>
          <w:szCs w:val="32"/>
        </w:rPr>
        <w:t>、</w:t>
      </w:r>
      <w:r>
        <w:rPr>
          <w:rFonts w:hAnsi="仿宋_GB2312" w:eastAsia="仿宋_GB2312"/>
          <w:bCs/>
          <w:kern w:val="0"/>
          <w:sz w:val="32"/>
          <w:szCs w:val="32"/>
        </w:rPr>
        <w:t>应急</w:t>
      </w:r>
      <w:r>
        <w:rPr>
          <w:rFonts w:hint="eastAsia" w:hAnsi="仿宋_GB2312" w:eastAsia="仿宋_GB2312"/>
          <w:bCs/>
          <w:kern w:val="0"/>
          <w:sz w:val="32"/>
          <w:szCs w:val="32"/>
        </w:rPr>
        <w:t>处置</w:t>
      </w:r>
      <w:r>
        <w:rPr>
          <w:rFonts w:hAnsi="仿宋_GB2312" w:eastAsia="仿宋_GB2312"/>
          <w:bCs/>
          <w:kern w:val="0"/>
          <w:sz w:val="32"/>
          <w:szCs w:val="32"/>
        </w:rPr>
        <w:t>方案</w:t>
      </w:r>
      <w:r>
        <w:rPr>
          <w:rFonts w:hint="eastAsia" w:hAnsi="仿宋_GB2312" w:eastAsia="仿宋_GB2312"/>
          <w:bCs/>
          <w:kern w:val="0"/>
          <w:sz w:val="32"/>
          <w:szCs w:val="32"/>
        </w:rPr>
        <w:t>，</w:t>
      </w:r>
      <w:r>
        <w:rPr>
          <w:rFonts w:hint="eastAsia" w:hAnsi="仿宋_GB2312" w:eastAsia="仿宋_GB2312"/>
          <w:bCs/>
          <w:kern w:val="0"/>
          <w:sz w:val="32"/>
          <w:szCs w:val="32"/>
          <w:lang w:eastAsia="zh-CN"/>
        </w:rPr>
        <w:t>检查</w:t>
      </w:r>
      <w:r>
        <w:rPr>
          <w:rFonts w:hint="eastAsia" w:ascii="仿宋_GB2312" w:hAnsi="仿宋_GB2312" w:eastAsia="仿宋_GB2312" w:cs="仿宋_GB2312"/>
          <w:sz w:val="32"/>
          <w:szCs w:val="32"/>
          <w:highlight w:val="none"/>
          <w:lang w:val="en-US" w:eastAsia="zh-CN"/>
        </w:rPr>
        <w:t>场地及相关搭建物和电源电路、消防等设施设备、通道，确保安全方可开赛，</w:t>
      </w:r>
      <w:r>
        <w:rPr>
          <w:rFonts w:hint="eastAsia" w:hAnsi="仿宋_GB2312" w:eastAsia="仿宋_GB2312"/>
          <w:bCs/>
          <w:kern w:val="0"/>
          <w:sz w:val="32"/>
          <w:szCs w:val="32"/>
        </w:rPr>
        <w:t>指挥、</w:t>
      </w:r>
      <w:r>
        <w:rPr>
          <w:rFonts w:hAnsi="仿宋_GB2312" w:eastAsia="仿宋_GB2312"/>
          <w:bCs/>
          <w:kern w:val="0"/>
          <w:sz w:val="32"/>
          <w:szCs w:val="32"/>
        </w:rPr>
        <w:t>协调</w:t>
      </w:r>
      <w:r>
        <w:rPr>
          <w:rFonts w:hint="eastAsia" w:hAnsi="仿宋_GB2312" w:eastAsia="仿宋_GB2312"/>
          <w:bCs/>
          <w:kern w:val="0"/>
          <w:sz w:val="32"/>
          <w:szCs w:val="32"/>
        </w:rPr>
        <w:t>处置突发事件，维护活动现场秩序</w:t>
      </w:r>
      <w:r>
        <w:rPr>
          <w:rFonts w:hAnsi="仿宋_GB2312" w:eastAsia="仿宋_GB2312"/>
          <w:bCs/>
          <w:kern w:val="0"/>
          <w:sz w:val="32"/>
          <w:szCs w:val="32"/>
        </w:rPr>
        <w:t>。</w:t>
      </w:r>
    </w:p>
    <w:p>
      <w:pPr>
        <w:adjustRightInd w:val="0"/>
        <w:spacing w:line="360" w:lineRule="auto"/>
        <w:ind w:firstLine="640" w:firstLineChars="200"/>
        <w:rPr>
          <w:rFonts w:ascii="楷体_GB2312" w:hAnsi="仿宋_GB2312" w:eastAsia="楷体_GB2312"/>
          <w:bCs/>
          <w:kern w:val="0"/>
          <w:sz w:val="32"/>
          <w:szCs w:val="32"/>
        </w:rPr>
      </w:pPr>
      <w:r>
        <w:rPr>
          <w:rFonts w:ascii="楷体_GB2312" w:hAnsi="仿宋_GB2312" w:eastAsia="楷体_GB2312"/>
          <w:bCs/>
          <w:kern w:val="0"/>
          <w:sz w:val="32"/>
          <w:szCs w:val="32"/>
        </w:rPr>
        <w:t>（二）</w:t>
      </w:r>
      <w:r>
        <w:rPr>
          <w:rFonts w:hint="eastAsia" w:ascii="楷体_GB2312" w:hAnsi="仿宋_GB2312" w:eastAsia="楷体_GB2312"/>
          <w:bCs/>
          <w:kern w:val="0"/>
          <w:sz w:val="32"/>
          <w:szCs w:val="32"/>
        </w:rPr>
        <w:t>安保</w:t>
      </w:r>
      <w:r>
        <w:rPr>
          <w:rFonts w:ascii="楷体_GB2312" w:hAnsi="仿宋_GB2312" w:eastAsia="楷体_GB2312"/>
          <w:bCs/>
          <w:kern w:val="0"/>
          <w:sz w:val="32"/>
          <w:szCs w:val="32"/>
        </w:rPr>
        <w:t>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adjustRightInd w:val="0"/>
        <w:spacing w:line="360" w:lineRule="auto"/>
        <w:ind w:firstLine="640" w:firstLineChars="200"/>
        <w:rPr>
          <w:rFonts w:eastAsia="仿宋_GB2312"/>
          <w:bCs/>
          <w:kern w:val="0"/>
          <w:sz w:val="32"/>
          <w:szCs w:val="32"/>
        </w:rPr>
      </w:pPr>
      <w:r>
        <w:rPr>
          <w:rFonts w:hAnsi="仿宋_GB2312" w:eastAsia="仿宋_GB2312"/>
          <w:bCs/>
          <w:kern w:val="0"/>
          <w:sz w:val="32"/>
          <w:szCs w:val="32"/>
        </w:rPr>
        <w:t>主要任务是</w:t>
      </w:r>
      <w:r>
        <w:rPr>
          <w:rFonts w:hint="eastAsia" w:hAnsi="仿宋_GB2312" w:eastAsia="仿宋_GB2312"/>
          <w:bCs/>
          <w:kern w:val="0"/>
          <w:sz w:val="32"/>
          <w:szCs w:val="32"/>
        </w:rPr>
        <w:t>维护活动现场秩序，协调</w:t>
      </w:r>
      <w:r>
        <w:rPr>
          <w:rFonts w:hAnsi="仿宋_GB2312" w:eastAsia="仿宋_GB2312"/>
          <w:bCs/>
          <w:kern w:val="0"/>
          <w:sz w:val="32"/>
          <w:szCs w:val="32"/>
        </w:rPr>
        <w:t>公安、消防、卫生、交通等相关部门</w:t>
      </w:r>
      <w:r>
        <w:rPr>
          <w:rFonts w:hint="eastAsia" w:hAnsi="仿宋_GB2312" w:eastAsia="仿宋_GB2312"/>
          <w:bCs/>
          <w:kern w:val="0"/>
          <w:sz w:val="32"/>
          <w:szCs w:val="32"/>
        </w:rPr>
        <w:t>妥善处置突发事件，指挥</w:t>
      </w:r>
      <w:r>
        <w:rPr>
          <w:rFonts w:hAnsi="仿宋_GB2312" w:eastAsia="仿宋_GB2312"/>
          <w:bCs/>
          <w:kern w:val="0"/>
          <w:sz w:val="32"/>
          <w:szCs w:val="32"/>
        </w:rPr>
        <w:t>救助受伤、受困人员</w:t>
      </w:r>
      <w:r>
        <w:rPr>
          <w:rFonts w:hint="eastAsia" w:hAnsi="仿宋_GB2312" w:eastAsia="仿宋_GB2312"/>
          <w:bCs/>
          <w:kern w:val="0"/>
          <w:sz w:val="32"/>
          <w:szCs w:val="32"/>
        </w:rPr>
        <w:t>，</w:t>
      </w:r>
      <w:r>
        <w:rPr>
          <w:rFonts w:hAnsi="仿宋_GB2312" w:eastAsia="仿宋_GB2312"/>
          <w:bCs/>
          <w:kern w:val="0"/>
          <w:sz w:val="32"/>
          <w:szCs w:val="32"/>
        </w:rPr>
        <w:t>控制事</w:t>
      </w:r>
      <w:r>
        <w:rPr>
          <w:rFonts w:hint="eastAsia" w:hAnsi="仿宋_GB2312" w:eastAsia="仿宋_GB2312"/>
          <w:bCs/>
          <w:kern w:val="0"/>
          <w:sz w:val="32"/>
          <w:szCs w:val="32"/>
        </w:rPr>
        <w:t>发</w:t>
      </w:r>
      <w:r>
        <w:rPr>
          <w:rFonts w:hAnsi="仿宋_GB2312" w:eastAsia="仿宋_GB2312"/>
          <w:bCs/>
          <w:kern w:val="0"/>
          <w:sz w:val="32"/>
          <w:szCs w:val="32"/>
        </w:rPr>
        <w:t>现场。</w:t>
      </w:r>
    </w:p>
    <w:p>
      <w:pPr>
        <w:adjustRightInd w:val="0"/>
        <w:spacing w:line="360" w:lineRule="auto"/>
        <w:ind w:firstLine="640" w:firstLineChars="200"/>
        <w:rPr>
          <w:rFonts w:ascii="楷体_GB2312" w:hAnsi="仿宋_GB2312" w:eastAsia="楷体_GB2312"/>
          <w:bCs/>
          <w:kern w:val="0"/>
          <w:sz w:val="32"/>
          <w:szCs w:val="32"/>
        </w:rPr>
      </w:pPr>
      <w:r>
        <w:rPr>
          <w:rFonts w:ascii="楷体_GB2312" w:hAnsi="仿宋_GB2312" w:eastAsia="楷体_GB2312"/>
          <w:bCs/>
          <w:kern w:val="0"/>
          <w:sz w:val="32"/>
          <w:szCs w:val="32"/>
        </w:rPr>
        <w:t>（三）</w:t>
      </w:r>
      <w:r>
        <w:rPr>
          <w:rFonts w:hint="eastAsia" w:ascii="楷体_GB2312" w:hAnsi="仿宋_GB2312" w:eastAsia="楷体_GB2312"/>
          <w:bCs/>
          <w:kern w:val="0"/>
          <w:sz w:val="32"/>
          <w:szCs w:val="32"/>
        </w:rPr>
        <w:t>处置</w:t>
      </w:r>
      <w:r>
        <w:rPr>
          <w:rFonts w:ascii="楷体_GB2312" w:hAnsi="仿宋_GB2312" w:eastAsia="楷体_GB2312"/>
          <w:bCs/>
          <w:kern w:val="0"/>
          <w:sz w:val="32"/>
          <w:szCs w:val="32"/>
        </w:rPr>
        <w:t>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adjustRightInd w:val="0"/>
        <w:spacing w:line="360" w:lineRule="auto"/>
        <w:ind w:firstLine="640" w:firstLineChars="200"/>
        <w:rPr>
          <w:rFonts w:hAnsi="仿宋_GB2312" w:eastAsia="仿宋_GB2312"/>
          <w:bCs/>
          <w:kern w:val="0"/>
          <w:sz w:val="32"/>
          <w:szCs w:val="32"/>
        </w:rPr>
      </w:pPr>
      <w:r>
        <w:rPr>
          <w:rFonts w:hint="eastAsia" w:hAnsi="仿宋_GB2312" w:eastAsia="仿宋_GB2312"/>
          <w:bCs/>
          <w:kern w:val="0"/>
          <w:sz w:val="32"/>
          <w:szCs w:val="32"/>
        </w:rPr>
        <w:t>在指挥组、安保组的具体指挥下，处置突发事件，维护事发现场秩序，组织应急救援和医疗救护工作，妥善做好相关善后工作，并将相关情况及时报指挥部。</w:t>
      </w:r>
    </w:p>
    <w:p>
      <w:pPr>
        <w:adjustRightInd w:val="0"/>
        <w:spacing w:line="360" w:lineRule="auto"/>
        <w:ind w:firstLine="640" w:firstLineChars="200"/>
        <w:rPr>
          <w:rFonts w:ascii="黑体" w:hAnsi="黑体" w:eastAsia="黑体"/>
          <w:bCs/>
          <w:kern w:val="0"/>
          <w:sz w:val="32"/>
          <w:szCs w:val="32"/>
        </w:rPr>
      </w:pPr>
      <w:r>
        <w:rPr>
          <w:rFonts w:hint="eastAsia" w:ascii="黑体" w:hAnsi="黑体" w:eastAsia="黑体"/>
          <w:bCs/>
          <w:kern w:val="0"/>
          <w:sz w:val="32"/>
          <w:szCs w:val="32"/>
        </w:rPr>
        <w:t>二</w:t>
      </w:r>
      <w:r>
        <w:rPr>
          <w:rFonts w:ascii="黑体" w:hAnsi="黑体" w:eastAsia="黑体"/>
          <w:bCs/>
          <w:kern w:val="0"/>
          <w:sz w:val="32"/>
          <w:szCs w:val="32"/>
        </w:rPr>
        <w:t>、应急</w:t>
      </w:r>
      <w:r>
        <w:rPr>
          <w:rFonts w:hint="eastAsia" w:ascii="黑体" w:hAnsi="黑体" w:eastAsia="黑体"/>
          <w:bCs/>
          <w:kern w:val="0"/>
          <w:sz w:val="32"/>
          <w:szCs w:val="32"/>
        </w:rPr>
        <w:t>处置</w:t>
      </w:r>
      <w:r>
        <w:rPr>
          <w:rFonts w:ascii="黑体" w:hAnsi="黑体" w:eastAsia="黑体"/>
          <w:bCs/>
          <w:kern w:val="0"/>
          <w:sz w:val="32"/>
          <w:szCs w:val="32"/>
        </w:rPr>
        <w:t>预案</w:t>
      </w:r>
    </w:p>
    <w:p>
      <w:pPr>
        <w:adjustRightInd w:val="0"/>
        <w:spacing w:line="360" w:lineRule="auto"/>
        <w:ind w:firstLine="640" w:firstLineChars="200"/>
        <w:rPr>
          <w:rFonts w:ascii="楷体_GB2312" w:hAnsi="仿宋_GB2312" w:eastAsia="楷体_GB2312"/>
          <w:bCs/>
          <w:kern w:val="0"/>
          <w:sz w:val="32"/>
          <w:szCs w:val="32"/>
        </w:rPr>
      </w:pPr>
      <w:r>
        <w:rPr>
          <w:rFonts w:ascii="楷体_GB2312" w:hAnsi="仿宋_GB2312" w:eastAsia="楷体_GB2312"/>
          <w:bCs/>
          <w:kern w:val="0"/>
          <w:sz w:val="32"/>
          <w:szCs w:val="32"/>
        </w:rPr>
        <w:t>（一）挤压、踩踏事</w:t>
      </w:r>
      <w:r>
        <w:rPr>
          <w:rFonts w:hint="eastAsia" w:ascii="楷体_GB2312" w:hAnsi="仿宋_GB2312" w:eastAsia="楷体_GB2312"/>
          <w:bCs/>
          <w:kern w:val="0"/>
          <w:sz w:val="32"/>
          <w:szCs w:val="32"/>
        </w:rPr>
        <w:t>件</w:t>
      </w:r>
      <w:r>
        <w:rPr>
          <w:rFonts w:ascii="楷体_GB2312" w:hAnsi="仿宋_GB2312" w:eastAsia="楷体_GB2312"/>
          <w:bCs/>
          <w:kern w:val="0"/>
          <w:sz w:val="32"/>
          <w:szCs w:val="32"/>
        </w:rPr>
        <w:t>应急</w:t>
      </w:r>
      <w:r>
        <w:rPr>
          <w:rFonts w:hint="eastAsia" w:ascii="楷体_GB2312" w:hAnsi="仿宋_GB2312" w:eastAsia="楷体_GB2312"/>
          <w:bCs/>
          <w:kern w:val="0"/>
          <w:sz w:val="32"/>
          <w:szCs w:val="32"/>
        </w:rPr>
        <w:t>处置</w:t>
      </w:r>
      <w:r>
        <w:rPr>
          <w:rFonts w:ascii="楷体_GB2312" w:hAnsi="仿宋_GB2312" w:eastAsia="楷体_GB2312"/>
          <w:bCs/>
          <w:kern w:val="0"/>
          <w:sz w:val="32"/>
          <w:szCs w:val="32"/>
        </w:rPr>
        <w:t>程序</w:t>
      </w:r>
    </w:p>
    <w:p>
      <w:pPr>
        <w:adjustRightInd w:val="0"/>
        <w:spacing w:line="360" w:lineRule="auto"/>
        <w:ind w:firstLine="640" w:firstLineChars="200"/>
        <w:rPr>
          <w:rFonts w:eastAsia="仿宋_GB2312"/>
          <w:sz w:val="32"/>
          <w:szCs w:val="32"/>
        </w:rPr>
      </w:pPr>
      <w:r>
        <w:rPr>
          <w:rFonts w:hAnsi="仿宋_GB2312" w:eastAsia="仿宋_GB2312"/>
          <w:bCs/>
          <w:kern w:val="0"/>
          <w:sz w:val="32"/>
          <w:szCs w:val="32"/>
        </w:rPr>
        <w:t>处置要点：迅速集结安保人员及其工作人员，控制、</w:t>
      </w:r>
      <w:r>
        <w:rPr>
          <w:rFonts w:hAnsi="仿宋_GB2312" w:eastAsia="仿宋_GB2312"/>
          <w:sz w:val="32"/>
          <w:szCs w:val="32"/>
        </w:rPr>
        <w:t>疏导活动区域内人员</w:t>
      </w:r>
      <w:r>
        <w:rPr>
          <w:rFonts w:hAnsi="仿宋_GB2312" w:eastAsia="仿宋_GB2312"/>
          <w:bCs/>
          <w:kern w:val="0"/>
          <w:sz w:val="32"/>
          <w:szCs w:val="32"/>
        </w:rPr>
        <w:t>，防止挤压、踩踏事故的发生。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活动集结区域内人太多，容易造成人员伤害，容易造成个人财物丢失被盗，容易损坏公共设施。这时现场保卫组成员，必须赶往现场，同保卫人员一起疏导人流，确保不发生挤压、踩踏事故，做到不伤人，不损坏公共设施。</w:t>
      </w:r>
    </w:p>
    <w:p>
      <w:pPr>
        <w:ind w:firstLine="640" w:firstLineChars="200"/>
        <w:rPr>
          <w:rFonts w:eastAsia="仿宋_GB2312"/>
          <w:bCs/>
          <w:kern w:val="0"/>
          <w:sz w:val="32"/>
          <w:szCs w:val="32"/>
        </w:rPr>
      </w:pPr>
      <w:r>
        <w:rPr>
          <w:rFonts w:hint="eastAsia" w:ascii="仿宋_GB2312" w:hAnsi="仿宋_GB2312" w:eastAsia="仿宋_GB2312" w:cs="仿宋_GB2312"/>
          <w:sz w:val="32"/>
          <w:szCs w:val="32"/>
        </w:rPr>
        <w:t>2.严格控制活动行走过程中队伍流量，当队伍行走过程</w:t>
      </w:r>
      <w:r>
        <w:rPr>
          <w:rFonts w:hAnsi="仿宋_GB2312" w:eastAsia="仿宋_GB2312"/>
          <w:bCs/>
          <w:kern w:val="0"/>
          <w:sz w:val="32"/>
          <w:szCs w:val="32"/>
        </w:rPr>
        <w:t>中进入一些比较狭隘的人行道，或转入一些社会人流大的路段时，要控制队伍流量，确保队伍有序、安全行走。</w:t>
      </w:r>
    </w:p>
    <w:p>
      <w:pPr>
        <w:adjustRightInd w:val="0"/>
        <w:spacing w:line="360" w:lineRule="auto"/>
        <w:ind w:firstLine="640" w:firstLineChars="200"/>
        <w:rPr>
          <w:rFonts w:ascii="楷体_GB2312" w:hAnsi="仿宋_GB2312" w:eastAsia="楷体_GB2312"/>
          <w:bCs/>
          <w:kern w:val="0"/>
          <w:sz w:val="32"/>
          <w:szCs w:val="32"/>
        </w:rPr>
      </w:pPr>
      <w:r>
        <w:rPr>
          <w:rFonts w:ascii="楷体_GB2312" w:hAnsi="仿宋_GB2312" w:eastAsia="楷体_GB2312"/>
          <w:bCs/>
          <w:kern w:val="0"/>
          <w:sz w:val="32"/>
          <w:szCs w:val="32"/>
        </w:rPr>
        <w:t>（二）场地内犯罪分子持刀行凶事件应急程序</w:t>
      </w:r>
    </w:p>
    <w:p>
      <w:pPr>
        <w:adjustRightInd w:val="0"/>
        <w:spacing w:line="360" w:lineRule="auto"/>
        <w:ind w:firstLine="640" w:firstLineChars="200"/>
        <w:rPr>
          <w:rFonts w:eastAsia="仿宋_GB2312"/>
          <w:bCs/>
          <w:kern w:val="0"/>
          <w:sz w:val="32"/>
          <w:szCs w:val="32"/>
        </w:rPr>
      </w:pPr>
      <w:r>
        <w:rPr>
          <w:rFonts w:hAnsi="仿宋_GB2312" w:eastAsia="仿宋_GB2312"/>
          <w:bCs/>
          <w:kern w:val="0"/>
          <w:sz w:val="32"/>
          <w:szCs w:val="32"/>
        </w:rPr>
        <w:t>处置要点：迅速集结安保力量，阻止犯罪分子行凶。</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1.获得事件信息的任何人都应当在第一时间向公安及场地安保部报告，并同时打110报警。</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2.公安及场地安保部或其工作人员应立即组织现场安保人员，不惜一切代价建立警戒线，使犯罪分子无法靠近活动队伍人员,观众和工作人员，防止事态扩大。</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3.应急指挥部宣布活动进入全面应急状态，各应急小组立即实施应急救援行动。</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4.应急指挥部集结优势力量，携带防卫器械，与犯罪分子周旋，劝阻与制止犯罪行为，为警方援助赢得时间，在有利条件下设法制服犯罪分子。</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5.现场工作组负责把所有参加人员，观众和工作人员撤离至安全区域。</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6.现场保卫组负责救护受伤的参加人员、观众、工作人员和其他伤员。</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7.指挥协调组向公安、消防、救护等相关部门、单位求援，争取外援迅速赶到事件现场，并保证现场应急组织信息畅通。</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8.现场保卫组组织人员实施事件现场警戒，阻止无关人员进入主要活动区域，维护现场秩序，防范别有用心的人滋事、肇事，并引导外部救援人员进入事件现场。</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9.事件发生后，主办方应当立即向相关主管部门报告。</w:t>
      </w:r>
    </w:p>
    <w:p>
      <w:pPr>
        <w:adjustRightInd w:val="0"/>
        <w:spacing w:line="360" w:lineRule="auto"/>
        <w:ind w:firstLine="640" w:firstLineChars="200"/>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（三）收到恐吓电话或信件事件应急处置程序</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处置要点：迅速调查清楚来电、来信人的身份和意图，维护活动主要区域和所有人员安全。</w:t>
      </w:r>
    </w:p>
    <w:p>
      <w:pPr>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1.收到恐吓电话或信件的任何人员都应当在第一时间向值班领导或相关部门报告。因个人纠葛收到恐吓电话和信件的人，若事件有可能影响个人的人身安全或活动场地安全，则必须向应急指挥部报告。</w:t>
      </w:r>
    </w:p>
    <w:p>
      <w:pPr>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2.收到匿名恐吓电话时，要保持镇静，对来电人的无理要求，不要马上拒绝，通过商谈的形式延长通话时间，尽可能从对方获得最多的信息。有来电显示的电话机应记下对方的电话号码，否则可用写字条、做手势的方法示意身边的人员，向电信局查询电话号码，有条件的可对恐吓电话作录音。</w:t>
      </w:r>
    </w:p>
    <w:p>
      <w:pPr>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3.指挥协调组应当立即对恐吓电话和信件进行分析研究：</w:t>
      </w:r>
    </w:p>
    <w:p>
      <w:pPr>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（1）立即派专人在收到恐吓电话的话机旁值班，电话机应装有来电显示和录音装置。</w:t>
      </w:r>
    </w:p>
    <w:p>
      <w:pPr>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（2）若来电来信人姓名、身份和意图明确，对方因个人纠葛失去理智而实施恐吓行为的，应急指挥部应妥善处理该事件。</w:t>
      </w:r>
    </w:p>
    <w:p>
      <w:pPr>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若来电来信人匿名，应急指挥部应通过来电人的口音、音色、口气、语调、语言特征和通话内容，来信人的笔迹、信件内容进行分析，并发动所有工作人员提供线索。通过初步推测作案人的动机，采取必要的防范措施。</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（4）对于匿名的恐吓电话和信件事件，应当立即向场地值班警员报告，应当争取警方尽快加入事件调查。对于破案的计划和策略要保密。</w:t>
      </w:r>
    </w:p>
    <w:p>
      <w:pPr>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5）对于与比赛和比赛场地纷争或其他纠纷，为勒索钱财或报复社会的人物的恐吓电话和信件，主办方除全力配合警方破案外，应当提高戒备，制订预案，随时准备应对突发事件。对于有可能受到袭击的人员和部门，要采取有力措施，保证其安全。</w:t>
      </w:r>
    </w:p>
    <w:p>
      <w:pPr>
        <w:adjustRightInd w:val="0"/>
        <w:spacing w:line="360" w:lineRule="auto"/>
        <w:ind w:firstLine="640" w:firstLineChars="200"/>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（四）场地内发现可疑人物应急处置程序</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处置要点：迅速采取措施，控制可疑人物。</w:t>
      </w:r>
    </w:p>
    <w:p>
      <w:pPr>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1.在场地内发现形迹可疑，四处游荡，可能作案的可疑人物，现场安保人员应当立即向现场保卫组成员报告。</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2.现场保卫组成员应当迅速对此人进行询问，同时此人的行动限制在一定区域内。</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3.若此人自述进入场地的目的明显缺乏可信度，无人证、物证可以证明，甚至说话前后矛盾、蛮不讲理，保卫人员应当将其带入办公室进行进一步盘问，要控制其行动。</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4.若有证据表明此人是危险人物或犯罪嫌疑人，应当立即告诉场地值班警员，由警方带走作进一步调查。</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5.若可疑人物在盘问时夺路逃跑，现场人员应当将其相貌、身高、衣着及其它特征和逃走方向，向警方报告。同时，应急指挥部和所有保卫人员应当做好此人再一次闯入场地作案的思想准备和预案准备。</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6.在整个过程中，应急指挥部应当采取切实有效的措施，防范可疑人物使用暴力，要确保所有参赛人员的安全。</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7.应急指挥部应当把事件情况及时向管理场地的公安派出所报告。</w:t>
      </w:r>
    </w:p>
    <w:p>
      <w:pPr>
        <w:adjustRightInd w:val="0"/>
        <w:spacing w:line="360" w:lineRule="auto"/>
        <w:ind w:firstLine="640" w:firstLineChars="200"/>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（五）场地内发现可疑物品的应急处置程序</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处置要点：防范易燃易爆、有毒有害物品伤害事故。</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收到可疑邮包或发现可疑物品的任何人员都应当在第一时间向值班领导或应急指挥部报告。可疑邮包是指：邮戳异常（寄包人地址与邮戳地址不符）、字体奇特、打印粗劣以及收件人姓名、形状、重量、气味、包装包扎、邮包内的声音异常等。</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可疑物品是指：物品外表、重量、气味可疑，不是场地内所需要使用的物品，也无人看到过此种物品，不知此物品有何用途，为何会出现在场地某处。</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2.发现可疑邮包和可疑物品的任何人员，都不应当试图打开或随意摆弄它。要禁止在周围吸烟或使用手机、对讲机或发动机动车辆等。</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3.应急指挥部和相关工作人员应当指定有专业知识和经验的人员进行初步鉴别，判断是不是危险物品。若不能排除危险物品，应当立即打110报警，请警方专业人员进行检测和处理。</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4.若可疑邮包和物品被警方确定为危险物品，应急指挥部应当立即在其周围设置警戒线，无关人员应当立即撤离，并采取严密的防范措施。</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5.应急指挥部和相关工作人员应当配合警方组织应急人员搜寻检查，确定在场地内是否还有其它可疑物品。</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6.应急指挥部配合警方开展各项处理工作，并及时向市公安部门报告。</w:t>
      </w:r>
    </w:p>
    <w:p>
      <w:pPr>
        <w:adjustRightInd w:val="0"/>
        <w:spacing w:line="360" w:lineRule="auto"/>
        <w:ind w:firstLine="640" w:firstLineChars="200"/>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（六）场地内群体性斗殴事件应急处置程序</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处置要点：迅速制止斗殴，避免人员伤亡。</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1.获得斗殴事件信息的任何人员都应当在第一时间，向指挥协调组报告，若事态已经失控或后果严重，应立即报告值班警员，请警方处理。</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2.应急指挥部应迅速集结优势力量（必要时携带防卫器械）赶到现场制止斗殴，并在斗殴现场设置警戒线，防止事态扩大。</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3.若斗殴者手中有器械，应首先收缴所有斗殴器械。</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4.若有无关人员参与斗殴，应设法防止其逃离现场。</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5.若有无辜人员受伤，应立即进行救治，或打120送医院，并及时与相关人员联系。</w:t>
      </w:r>
    </w:p>
    <w:p>
      <w:pPr>
        <w:adjustRightIn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6.分离斗殴双方人员，由公安部门和应急指挥部领导、保卫人员等进行处理。</w:t>
      </w:r>
    </w:p>
    <w:p>
      <w:pP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XXXXX</w:t>
      </w:r>
      <w:r>
        <w:rPr>
          <w:rFonts w:hint="eastAsia" w:ascii="方正小标宋_GBK" w:hAnsi="方正小标宋_GBK" w:eastAsia="方正小标宋_GBK" w:cs="方正小标宋_GBK"/>
          <w:sz w:val="44"/>
          <w:szCs w:val="44"/>
          <w:lang w:val="en-US" w:eastAsia="zh-CN"/>
        </w:rPr>
        <w:t>赛事活动</w:t>
      </w:r>
      <w:r>
        <w:rPr>
          <w:rFonts w:hint="eastAsia" w:ascii="方正小标宋_GBK" w:hAnsi="方正小标宋_GBK" w:eastAsia="方正小标宋_GBK" w:cs="方正小标宋_GBK"/>
          <w:sz w:val="44"/>
          <w:szCs w:val="44"/>
        </w:rPr>
        <w:t>应急处置预案</w:t>
      </w:r>
    </w:p>
    <w:p>
      <w:pPr>
        <w:spacing w:line="600" w:lineRule="exact"/>
        <w:jc w:val="center"/>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（模板）</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eastAsia="zh-CN"/>
        </w:rPr>
        <w:t>对XXXXX</w:t>
      </w:r>
      <w:r>
        <w:rPr>
          <w:rFonts w:hint="eastAsia" w:ascii="仿宋_GB2312" w:hAnsi="仿宋_GB2312" w:eastAsia="仿宋_GB2312" w:cs="仿宋_GB2312"/>
          <w:sz w:val="32"/>
          <w:szCs w:val="32"/>
          <w:lang w:val="en-US" w:eastAsia="zh-CN"/>
        </w:rPr>
        <w:t>赛事</w:t>
      </w:r>
      <w:r>
        <w:rPr>
          <w:rFonts w:hint="eastAsia" w:ascii="Times New Roman" w:hAnsi="Times New Roman" w:eastAsia="仿宋_GB2312" w:cs="Times New Roman"/>
          <w:sz w:val="32"/>
          <w:szCs w:val="32"/>
          <w:shd w:val="clear" w:color="auto" w:fill="FFFFFF"/>
          <w:lang w:val="en-US" w:eastAsia="zh-CN"/>
        </w:rPr>
        <w:t>活动</w:t>
      </w:r>
      <w:r>
        <w:rPr>
          <w:rFonts w:hint="eastAsia" w:ascii="仿宋_GB2312" w:hAnsi="仿宋_GB2312" w:eastAsia="仿宋_GB2312" w:cs="仿宋_GB2312"/>
          <w:sz w:val="32"/>
          <w:szCs w:val="32"/>
        </w:rPr>
        <w:t>突发事件的处置能力，最大程度地预防和减少突发事件及其造成的损害，保障群众生命财产安全，根据</w:t>
      </w:r>
      <w:r>
        <w:rPr>
          <w:rFonts w:hint="eastAsia" w:ascii="仿宋_GB2312" w:hAnsi="仿宋_GB2312" w:eastAsia="仿宋_GB2312" w:cs="仿宋_GB2312"/>
          <w:sz w:val="32"/>
          <w:szCs w:val="32"/>
          <w:lang w:eastAsia="zh-CN"/>
        </w:rPr>
        <w:t>国家体育总局《体育赛事活动管理办法》（国家体育总局令第</w:t>
      </w:r>
      <w:r>
        <w:rPr>
          <w:rFonts w:hint="eastAsia" w:ascii="仿宋_GB2312" w:hAnsi="仿宋_GB2312" w:eastAsia="仿宋_GB2312" w:cs="仿宋_GB2312"/>
          <w:sz w:val="32"/>
          <w:szCs w:val="32"/>
          <w:lang w:val="en-US" w:eastAsia="zh-CN"/>
        </w:rPr>
        <w:t>31号</w:t>
      </w:r>
      <w:r>
        <w:rPr>
          <w:rFonts w:hint="eastAsia" w:ascii="仿宋_GB2312" w:hAnsi="仿宋_GB2312" w:eastAsia="仿宋_GB2312" w:cs="仿宋_GB2312"/>
          <w:sz w:val="32"/>
          <w:szCs w:val="32"/>
          <w:lang w:eastAsia="zh-CN"/>
        </w:rPr>
        <w:t>）和国家体育总局等</w:t>
      </w:r>
      <w:r>
        <w:rPr>
          <w:rFonts w:hint="eastAsia" w:ascii="仿宋_GB2312" w:hAnsi="仿宋_GB2312" w:eastAsia="仿宋_GB2312" w:cs="仿宋_GB2312"/>
          <w:sz w:val="32"/>
          <w:szCs w:val="32"/>
          <w:lang w:val="en-US" w:eastAsia="zh-CN"/>
        </w:rPr>
        <w:t>11部委《关于进一步加强体育赛事活动安全监管服务工作的意见》（体规字〔2021〕3号），以及</w:t>
      </w:r>
      <w:r>
        <w:rPr>
          <w:rFonts w:hint="eastAsia" w:ascii="仿宋_GB2312" w:hAnsi="仿宋_GB2312" w:eastAsia="仿宋_GB2312" w:cs="仿宋_GB2312"/>
          <w:sz w:val="32"/>
          <w:szCs w:val="32"/>
          <w:lang w:eastAsia="zh-CN"/>
        </w:rPr>
        <w:t>广东省体育局等十一部门</w:t>
      </w:r>
      <w:r>
        <w:rPr>
          <w:rFonts w:hint="eastAsia" w:ascii="仿宋_GB2312" w:hAnsi="仿宋_GB2312" w:eastAsia="仿宋_GB2312" w:cs="仿宋_GB2312"/>
          <w:sz w:val="32"/>
          <w:szCs w:val="32"/>
        </w:rPr>
        <w:t>《关于进一步加强广东省体育赛事活动安全监管服务工作的通知》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粤体规〔2022〕2号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等文件精神，结合活动开展的实际情况，特制定本应急处置预案。</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一、工作原则</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遵循“统一指挥、严密控制、措施慎重、及时处置”的原则，按照“可顺不可激、可散不可聚、可解不可结”的方针，坚持教育疏导为主，严格区分事件不同性质，系统联动，资源整合，讲究方法和策略，及时快速妥善处置。</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二、组织指挥</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活动主办、承办、协办单位成立突发事件应急处置工作指挥部，活动主办方领导任总指挥，</w:t>
      </w:r>
      <w:r>
        <w:rPr>
          <w:rFonts w:hint="eastAsia" w:eastAsia="仿宋_GB2312" w:cs="Times New Roman"/>
          <w:sz w:val="32"/>
          <w:szCs w:val="32"/>
        </w:rPr>
        <w:t>活动主办或承办方及职能部门负责人担任副总指挥。下设</w:t>
      </w:r>
      <w:r>
        <w:rPr>
          <w:rFonts w:hint="eastAsia" w:ascii="仿宋_GB2312" w:hAnsi="仿宋_GB2312" w:eastAsia="仿宋_GB2312" w:cs="仿宋_GB2312"/>
          <w:sz w:val="32"/>
          <w:szCs w:val="32"/>
        </w:rPr>
        <w:t>安全保障组、医疗保障组、宣传工作组、场地保障组、后勤保障组。</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三、任务与分工</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总指挥</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eastAsia="仿宋_GB2312"/>
          <w:sz w:val="32"/>
          <w:szCs w:val="32"/>
        </w:rPr>
      </w:pPr>
      <w:r>
        <w:rPr>
          <w:rFonts w:eastAsia="仿宋_GB2312"/>
          <w:sz w:val="32"/>
          <w:szCs w:val="32"/>
        </w:rPr>
        <w:t>全权负责、指挥、调度、协调相关部门做好</w:t>
      </w:r>
      <w:r>
        <w:rPr>
          <w:rFonts w:hint="eastAsia" w:eastAsia="仿宋_GB2312"/>
          <w:sz w:val="32"/>
          <w:szCs w:val="32"/>
        </w:rPr>
        <w:t>活动的安全保障工作，确保活动顺利举行</w:t>
      </w:r>
      <w:r>
        <w:rPr>
          <w:rFonts w:eastAsia="仿宋_GB2312"/>
          <w:sz w:val="32"/>
          <w:szCs w:val="32"/>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（二）现场副总指挥</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eastAsia="仿宋_GB2312"/>
          <w:sz w:val="32"/>
          <w:szCs w:val="32"/>
        </w:rPr>
      </w:pPr>
      <w:r>
        <w:rPr>
          <w:rFonts w:eastAsia="仿宋_GB2312"/>
          <w:sz w:val="32"/>
          <w:szCs w:val="32"/>
        </w:rPr>
        <w:t>配合协助总指挥做好</w:t>
      </w:r>
      <w:r>
        <w:rPr>
          <w:rFonts w:hint="eastAsia" w:eastAsia="仿宋_GB2312"/>
          <w:sz w:val="32"/>
          <w:szCs w:val="32"/>
        </w:rPr>
        <w:t>活动的</w:t>
      </w:r>
      <w:r>
        <w:rPr>
          <w:rFonts w:eastAsia="仿宋_GB2312"/>
          <w:sz w:val="32"/>
          <w:szCs w:val="32"/>
        </w:rPr>
        <w:t>调度、协调指挥工作。</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（三）安全保障组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Ansi="仿宋_GB2312" w:eastAsia="仿宋_GB2312"/>
          <w:bCs/>
          <w:kern w:val="0"/>
          <w:sz w:val="32"/>
          <w:szCs w:val="32"/>
        </w:rPr>
      </w:pPr>
      <w:r>
        <w:rPr>
          <w:rFonts w:hint="eastAsia" w:eastAsia="仿宋_GB2312"/>
          <w:sz w:val="32"/>
          <w:szCs w:val="32"/>
        </w:rPr>
        <w:t>根据活动的实际情况结合属地公安部门的要求，负责</w:t>
      </w:r>
      <w:r>
        <w:rPr>
          <w:rFonts w:hAnsi="仿宋_GB2312" w:eastAsia="仿宋_GB2312"/>
          <w:bCs/>
          <w:kern w:val="0"/>
          <w:sz w:val="32"/>
          <w:szCs w:val="32"/>
        </w:rPr>
        <w:t>制定</w:t>
      </w:r>
      <w:r>
        <w:rPr>
          <w:rFonts w:hint="eastAsia" w:hAnsi="仿宋_GB2312" w:eastAsia="仿宋_GB2312"/>
          <w:bCs/>
          <w:kern w:val="0"/>
          <w:sz w:val="32"/>
          <w:szCs w:val="32"/>
        </w:rPr>
        <w:t>活动安保、</w:t>
      </w:r>
      <w:r>
        <w:rPr>
          <w:rFonts w:hAnsi="仿宋_GB2312" w:eastAsia="仿宋_GB2312"/>
          <w:bCs/>
          <w:kern w:val="0"/>
          <w:sz w:val="32"/>
          <w:szCs w:val="32"/>
        </w:rPr>
        <w:t>应急</w:t>
      </w:r>
      <w:r>
        <w:rPr>
          <w:rFonts w:hint="eastAsia" w:hAnsi="仿宋_GB2312" w:eastAsia="仿宋_GB2312"/>
          <w:bCs/>
          <w:kern w:val="0"/>
          <w:sz w:val="32"/>
          <w:szCs w:val="32"/>
        </w:rPr>
        <w:t>处置</w:t>
      </w:r>
      <w:r>
        <w:rPr>
          <w:rFonts w:hAnsi="仿宋_GB2312" w:eastAsia="仿宋_GB2312"/>
          <w:bCs/>
          <w:kern w:val="0"/>
          <w:sz w:val="32"/>
          <w:szCs w:val="32"/>
        </w:rPr>
        <w:t>方案</w:t>
      </w:r>
      <w:r>
        <w:rPr>
          <w:rFonts w:hint="eastAsia" w:hAnsi="仿宋_GB2312" w:eastAsia="仿宋_GB2312"/>
          <w:bCs/>
          <w:kern w:val="0"/>
          <w:sz w:val="32"/>
          <w:szCs w:val="32"/>
        </w:rPr>
        <w:t>，公安报批报备</w:t>
      </w:r>
      <w:r>
        <w:rPr>
          <w:rFonts w:hAnsi="仿宋_GB2312" w:eastAsia="仿宋_GB2312"/>
          <w:bCs/>
          <w:kern w:val="0"/>
          <w:sz w:val="32"/>
          <w:szCs w:val="32"/>
        </w:rPr>
        <w:t>，</w:t>
      </w:r>
      <w:r>
        <w:rPr>
          <w:rFonts w:hint="eastAsia" w:hAnsi="仿宋_GB2312" w:eastAsia="仿宋_GB2312"/>
          <w:bCs/>
          <w:kern w:val="0"/>
          <w:sz w:val="32"/>
          <w:szCs w:val="32"/>
        </w:rPr>
        <w:t>传达落实总指挥的指示指令，指挥、</w:t>
      </w:r>
      <w:r>
        <w:rPr>
          <w:rFonts w:hAnsi="仿宋_GB2312" w:eastAsia="仿宋_GB2312"/>
          <w:bCs/>
          <w:kern w:val="0"/>
          <w:sz w:val="32"/>
          <w:szCs w:val="32"/>
        </w:rPr>
        <w:t>协调</w:t>
      </w:r>
      <w:r>
        <w:rPr>
          <w:rFonts w:hint="eastAsia" w:hAnsi="仿宋_GB2312" w:eastAsia="仿宋_GB2312"/>
          <w:bCs/>
          <w:kern w:val="0"/>
          <w:sz w:val="32"/>
          <w:szCs w:val="32"/>
        </w:rPr>
        <w:t>处置突发事件，维护活动现场秩序</w:t>
      </w:r>
      <w:r>
        <w:rPr>
          <w:rFonts w:hAnsi="仿宋_GB2312" w:eastAsia="仿宋_GB2312"/>
          <w:bCs/>
          <w:kern w:val="0"/>
          <w:sz w:val="32"/>
          <w:szCs w:val="32"/>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（四）医疗保障组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Ansi="仿宋_GB2312" w:eastAsia="仿宋_GB2312"/>
          <w:bCs/>
          <w:kern w:val="0"/>
          <w:sz w:val="32"/>
          <w:szCs w:val="32"/>
        </w:rPr>
      </w:pPr>
      <w:r>
        <w:rPr>
          <w:rFonts w:hint="eastAsia" w:hAnsi="仿宋_GB2312" w:eastAsia="仿宋_GB2312"/>
          <w:bCs/>
          <w:kern w:val="0"/>
          <w:sz w:val="32"/>
          <w:szCs w:val="32"/>
        </w:rPr>
        <w:t>根据活动的实际情况，结合医疗卫生部门的意见，负责组织医护保障力量，准备医护人员、志愿者、救护车辆、医疗保障物资等，落实总指挥和安全保障组的指示指令，对相关医护信息及时研判、上报、通传。</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（五）宣传工作组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Ansi="仿宋_GB2312" w:eastAsia="仿宋_GB2312"/>
          <w:bCs/>
          <w:kern w:val="0"/>
          <w:sz w:val="32"/>
          <w:szCs w:val="32"/>
        </w:rPr>
      </w:pPr>
      <w:r>
        <w:rPr>
          <w:rFonts w:hint="eastAsia" w:hAnsi="仿宋_GB2312" w:eastAsia="仿宋_GB2312"/>
          <w:bCs/>
          <w:kern w:val="0"/>
          <w:sz w:val="32"/>
          <w:szCs w:val="32"/>
        </w:rPr>
        <w:t>负责活动前期、中期、后期的安保应急工作宣传、媒体应对、安保应急资料收集（录音、录像、照片、文字宣传）</w:t>
      </w:r>
      <w:r>
        <w:rPr>
          <w:rFonts w:hAnsi="仿宋_GB2312" w:eastAsia="仿宋_GB2312"/>
          <w:bCs/>
          <w:kern w:val="0"/>
          <w:sz w:val="32"/>
          <w:szCs w:val="32"/>
        </w:rPr>
        <w:t>，</w:t>
      </w:r>
      <w:r>
        <w:rPr>
          <w:rFonts w:hint="eastAsia" w:hAnsi="仿宋_GB2312" w:eastAsia="仿宋_GB2312"/>
          <w:bCs/>
          <w:kern w:val="0"/>
          <w:sz w:val="32"/>
          <w:szCs w:val="32"/>
        </w:rPr>
        <w:t>牵头应对活动舆情。</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（六）场地保障组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Ansi="仿宋_GB2312" w:eastAsia="仿宋_GB2312"/>
          <w:bCs/>
          <w:kern w:val="0"/>
          <w:sz w:val="32"/>
          <w:szCs w:val="32"/>
        </w:rPr>
      </w:pPr>
      <w:r>
        <w:rPr>
          <w:rFonts w:hint="eastAsia" w:hAnsi="仿宋_GB2312" w:eastAsia="仿宋_GB2312"/>
          <w:bCs/>
          <w:kern w:val="0"/>
          <w:sz w:val="32"/>
          <w:szCs w:val="32"/>
        </w:rPr>
        <w:t>负责活动的场地保障工作</w:t>
      </w:r>
      <w:r>
        <w:rPr>
          <w:rFonts w:hAnsi="仿宋_GB2312" w:eastAsia="仿宋_GB2312"/>
          <w:bCs/>
          <w:kern w:val="0"/>
          <w:sz w:val="32"/>
          <w:szCs w:val="32"/>
        </w:rPr>
        <w:t>（</w:t>
      </w:r>
      <w:r>
        <w:rPr>
          <w:rFonts w:hint="eastAsia" w:hAnsi="仿宋_GB2312" w:eastAsia="仿宋_GB2312"/>
          <w:bCs/>
          <w:kern w:val="0"/>
          <w:sz w:val="32"/>
          <w:szCs w:val="32"/>
        </w:rPr>
        <w:t>包括但不限于活动的主会场、停车场、活动器械、各功能区按规定设置等）和活动的车辆指引</w:t>
      </w:r>
      <w:r>
        <w:rPr>
          <w:rFonts w:hAnsi="仿宋_GB2312" w:eastAsia="仿宋_GB2312"/>
          <w:bCs/>
          <w:kern w:val="0"/>
          <w:sz w:val="32"/>
          <w:szCs w:val="32"/>
        </w:rPr>
        <w:t>，</w:t>
      </w:r>
      <w:r>
        <w:rPr>
          <w:rFonts w:hint="eastAsia" w:hAnsi="仿宋_GB2312" w:eastAsia="仿宋_GB2312"/>
          <w:bCs/>
          <w:kern w:val="0"/>
          <w:sz w:val="32"/>
          <w:szCs w:val="32"/>
        </w:rPr>
        <w:t>标识标牌的设置</w:t>
      </w:r>
      <w:r>
        <w:rPr>
          <w:rFonts w:hAnsi="仿宋_GB2312" w:eastAsia="仿宋_GB2312"/>
          <w:bCs/>
          <w:kern w:val="0"/>
          <w:sz w:val="32"/>
          <w:szCs w:val="32"/>
        </w:rPr>
        <w:t>，</w:t>
      </w:r>
      <w:r>
        <w:rPr>
          <w:rFonts w:hint="eastAsia" w:hAnsi="仿宋_GB2312" w:eastAsia="仿宋_GB2312"/>
          <w:bCs/>
          <w:kern w:val="0"/>
          <w:sz w:val="32"/>
          <w:szCs w:val="32"/>
        </w:rPr>
        <w:t>活动现场的复原</w:t>
      </w:r>
      <w:r>
        <w:rPr>
          <w:rFonts w:hAnsi="仿宋_GB2312" w:eastAsia="仿宋_GB2312"/>
          <w:bCs/>
          <w:kern w:val="0"/>
          <w:sz w:val="32"/>
          <w:szCs w:val="32"/>
        </w:rPr>
        <w:t>，</w:t>
      </w:r>
      <w:r>
        <w:rPr>
          <w:rFonts w:hint="eastAsia" w:hAnsi="仿宋_GB2312" w:eastAsia="仿宋_GB2312"/>
          <w:bCs/>
          <w:kern w:val="0"/>
          <w:sz w:val="32"/>
          <w:szCs w:val="32"/>
        </w:rPr>
        <w:t>活动器材的回收</w:t>
      </w:r>
      <w:r>
        <w:rPr>
          <w:rFonts w:hAnsi="仿宋_GB2312" w:eastAsia="仿宋_GB2312"/>
          <w:bCs/>
          <w:kern w:val="0"/>
          <w:sz w:val="32"/>
          <w:szCs w:val="32"/>
        </w:rPr>
        <w:t>，</w:t>
      </w:r>
      <w:r>
        <w:rPr>
          <w:rFonts w:hint="eastAsia" w:hAnsi="仿宋_GB2312" w:eastAsia="仿宋_GB2312"/>
          <w:bCs/>
          <w:kern w:val="0"/>
          <w:sz w:val="32"/>
          <w:szCs w:val="32"/>
        </w:rPr>
        <w:t>活动物料的备案等。</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（七）后勤保障组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组  长：</w:t>
      </w:r>
      <w:r>
        <w:rPr>
          <w:rFonts w:hint="eastAsia" w:ascii="仿宋_GB2312" w:hAnsi="仿宋_GB2312" w:eastAsia="仿宋_GB2312" w:cs="仿宋_GB2312"/>
          <w:sz w:val="32"/>
          <w:szCs w:val="32"/>
          <w:highlight w:val="none"/>
          <w:lang w:val="en-US" w:eastAsia="zh-CN"/>
        </w:rPr>
        <w:t>XXX</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副组长：XXX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成  员：</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Ansi="仿宋_GB2312" w:eastAsia="仿宋_GB2312"/>
          <w:bCs/>
          <w:kern w:val="0"/>
          <w:sz w:val="32"/>
          <w:szCs w:val="32"/>
        </w:rPr>
      </w:pPr>
      <w:r>
        <w:rPr>
          <w:rFonts w:hint="eastAsia" w:hAnsi="仿宋_GB2312" w:eastAsia="仿宋_GB2312"/>
          <w:bCs/>
          <w:kern w:val="0"/>
          <w:sz w:val="32"/>
          <w:szCs w:val="32"/>
        </w:rPr>
        <w:t>负责落实活动的保障经费，做好其他各工作小组的后勤保障和服务工作。</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四、应急处置对策</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eastAsia="仿宋_GB2312"/>
          <w:snapToGrid w:val="0"/>
          <w:color w:val="000000"/>
          <w:sz w:val="32"/>
          <w:szCs w:val="32"/>
        </w:rPr>
      </w:pPr>
      <w:r>
        <w:rPr>
          <w:rFonts w:eastAsia="仿宋_GB2312"/>
          <w:snapToGrid w:val="0"/>
          <w:color w:val="000000"/>
          <w:sz w:val="32"/>
          <w:szCs w:val="32"/>
        </w:rPr>
        <w:t>一旦发生突发事件，各工作组执勤人员在接报后要迅速赶赴现场，各就各位，维护现场内外围治安交通秩序，保护现场，隔离险情，抢救伤员，制服案犯，将</w:t>
      </w:r>
      <w:r>
        <w:rPr>
          <w:rFonts w:hint="eastAsia" w:eastAsia="仿宋_GB2312"/>
          <w:snapToGrid w:val="0"/>
          <w:color w:val="000000"/>
          <w:sz w:val="32"/>
          <w:szCs w:val="32"/>
        </w:rPr>
        <w:t>参与活动人员</w:t>
      </w:r>
      <w:r>
        <w:rPr>
          <w:rFonts w:eastAsia="仿宋_GB2312"/>
          <w:snapToGrid w:val="0"/>
          <w:color w:val="000000"/>
          <w:sz w:val="32"/>
          <w:szCs w:val="32"/>
        </w:rPr>
        <w:t>转移到安全地带，有序疏散群众，同时及时准确向指挥部汇报有关情况。在此过程中，对不同的突发事件采取相应的措施</w:t>
      </w:r>
      <w:r>
        <w:rPr>
          <w:rFonts w:hint="eastAsia" w:eastAsia="仿宋_GB2312"/>
          <w:snapToGrid w:val="0"/>
          <w:color w:val="000000"/>
          <w:sz w:val="32"/>
          <w:szCs w:val="32"/>
        </w:rPr>
        <w:t>，必要时启动应急熔断机制</w:t>
      </w:r>
      <w:r>
        <w:rPr>
          <w:rFonts w:eastAsia="仿宋_GB2312"/>
          <w:snapToGrid w:val="0"/>
          <w:color w:val="000000"/>
          <w:sz w:val="32"/>
          <w:szCs w:val="32"/>
        </w:rPr>
        <w:t>：</w:t>
      </w:r>
    </w:p>
    <w:p>
      <w:pPr>
        <w:keepNext w:val="0"/>
        <w:keepLines w:val="0"/>
        <w:pageBreakBefore w:val="0"/>
        <w:widowControl w:val="0"/>
        <w:numPr>
          <w:ilvl w:val="0"/>
          <w:numId w:val="2"/>
        </w:numPr>
        <w:kinsoku/>
        <w:wordWrap/>
        <w:overflowPunct/>
        <w:topLinePunct w:val="0"/>
        <w:autoSpaceDE/>
        <w:autoSpaceDN/>
        <w:bidi w:val="0"/>
        <w:snapToGrid/>
        <w:spacing w:line="360" w:lineRule="auto"/>
        <w:ind w:firstLine="640" w:firstLineChars="200"/>
        <w:textAlignment w:val="auto"/>
        <w:rPr>
          <w:rFonts w:eastAsia="仿宋_GB2312"/>
          <w:snapToGrid w:val="0"/>
          <w:color w:val="000000"/>
          <w:spacing w:val="-6"/>
          <w:sz w:val="32"/>
          <w:szCs w:val="32"/>
        </w:rPr>
      </w:pPr>
      <w:r>
        <w:rPr>
          <w:rFonts w:eastAsia="仿宋_GB2312"/>
          <w:snapToGrid w:val="0"/>
          <w:color w:val="000000"/>
          <w:sz w:val="32"/>
          <w:szCs w:val="32"/>
        </w:rPr>
        <w:t>发生火灾时，</w:t>
      </w:r>
      <w:r>
        <w:rPr>
          <w:rFonts w:hint="eastAsia" w:eastAsia="仿宋_GB2312"/>
          <w:snapToGrid w:val="0"/>
          <w:color w:val="000000"/>
          <w:sz w:val="32"/>
          <w:szCs w:val="32"/>
        </w:rPr>
        <w:t>指挥部迅速组织工作人员科学开展灭火工作，并及时</w:t>
      </w:r>
      <w:r>
        <w:rPr>
          <w:rFonts w:hint="eastAsia" w:ascii="仿宋_GB2312" w:hAnsi="仿宋_GB2312" w:eastAsia="仿宋_GB2312" w:cs="仿宋_GB2312"/>
          <w:sz w:val="32"/>
          <w:szCs w:val="32"/>
        </w:rPr>
        <w:t>拨打119报警</w:t>
      </w:r>
      <w:r>
        <w:rPr>
          <w:rFonts w:hint="eastAsia" w:eastAsia="仿宋_GB2312"/>
          <w:snapToGrid w:val="0"/>
          <w:color w:val="000000"/>
          <w:sz w:val="32"/>
          <w:szCs w:val="32"/>
        </w:rPr>
        <w:t>电话寻求消防救援</w:t>
      </w:r>
      <w:r>
        <w:rPr>
          <w:rFonts w:eastAsia="仿宋_GB2312"/>
          <w:snapToGrid w:val="0"/>
          <w:color w:val="000000"/>
          <w:sz w:val="32"/>
          <w:szCs w:val="32"/>
        </w:rPr>
        <w:t>。就近执勤</w:t>
      </w:r>
      <w:r>
        <w:rPr>
          <w:rFonts w:hint="eastAsia" w:eastAsia="仿宋_GB2312"/>
          <w:snapToGrid w:val="0"/>
          <w:color w:val="000000"/>
          <w:sz w:val="32"/>
          <w:szCs w:val="32"/>
        </w:rPr>
        <w:t>的工作人员</w:t>
      </w:r>
      <w:r>
        <w:rPr>
          <w:rFonts w:eastAsia="仿宋_GB2312"/>
          <w:snapToGrid w:val="0"/>
          <w:color w:val="000000"/>
          <w:sz w:val="32"/>
          <w:szCs w:val="32"/>
        </w:rPr>
        <w:t>要维护现场治安交通秩序，疏散与会</w:t>
      </w:r>
      <w:r>
        <w:rPr>
          <w:rFonts w:hint="eastAsia" w:eastAsia="仿宋_GB2312"/>
          <w:snapToGrid w:val="0"/>
          <w:color w:val="000000"/>
          <w:sz w:val="32"/>
          <w:szCs w:val="32"/>
        </w:rPr>
        <w:t>人员</w:t>
      </w:r>
      <w:r>
        <w:rPr>
          <w:rFonts w:eastAsia="仿宋_GB2312"/>
          <w:snapToGrid w:val="0"/>
          <w:color w:val="000000"/>
          <w:sz w:val="32"/>
          <w:szCs w:val="32"/>
        </w:rPr>
        <w:t>到安全地带。同时封闭现场，设定警戒控制区域，避免由次生灾害</w:t>
      </w:r>
      <w:r>
        <w:rPr>
          <w:rFonts w:eastAsia="仿宋_GB2312"/>
          <w:snapToGrid w:val="0"/>
          <w:color w:val="000000"/>
          <w:spacing w:val="-6"/>
          <w:sz w:val="32"/>
          <w:szCs w:val="32"/>
        </w:rPr>
        <w:t>（失火造成的烟、气、房屋倒塌和人员混乱拥挤）引起伤亡。</w:t>
      </w:r>
    </w:p>
    <w:p>
      <w:pPr>
        <w:keepNext w:val="0"/>
        <w:keepLines w:val="0"/>
        <w:pageBreakBefore w:val="0"/>
        <w:widowControl w:val="0"/>
        <w:numPr>
          <w:ilvl w:val="0"/>
          <w:numId w:val="2"/>
        </w:numPr>
        <w:kinsoku/>
        <w:wordWrap/>
        <w:overflowPunct/>
        <w:topLinePunct w:val="0"/>
        <w:autoSpaceDE/>
        <w:autoSpaceDN/>
        <w:bidi w:val="0"/>
        <w:snapToGrid/>
        <w:spacing w:line="360" w:lineRule="auto"/>
        <w:ind w:firstLine="640" w:firstLineChars="200"/>
        <w:textAlignment w:val="auto"/>
        <w:rPr>
          <w:rFonts w:eastAsia="仿宋_GB2312"/>
          <w:snapToGrid w:val="0"/>
          <w:color w:val="000000"/>
          <w:sz w:val="32"/>
          <w:szCs w:val="32"/>
        </w:rPr>
      </w:pPr>
      <w:r>
        <w:rPr>
          <w:rFonts w:hint="eastAsia" w:eastAsia="仿宋_GB2312"/>
          <w:snapToGrid w:val="0"/>
          <w:color w:val="000000"/>
          <w:sz w:val="32"/>
          <w:szCs w:val="32"/>
        </w:rPr>
        <w:t>发生强降雨时，视情况及时延迟或者叫停活动。指挥部迅速组织工作人员检查活动现场室内外的电源和排水设施，并及时通过广播、对讲机、手机信息等方式告知工作人员和参与群众活动延迟或者停止，移步天河体育馆二楼平台或者体育馆内避雨，并告知不准靠近避雷器、避雷针及大树，同时及时组织工作人员联系清点参与人员，及时开展营救。</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snapToGrid w:val="0"/>
          <w:color w:val="000000"/>
          <w:sz w:val="32"/>
          <w:szCs w:val="32"/>
        </w:rPr>
        <w:t>（三）发生人员大量聚集，容易引发群死群伤事件时，指挥部要迅速部署有关工作组赶赴现场，划分控制区域，疏</w:t>
      </w:r>
      <w:r>
        <w:rPr>
          <w:rFonts w:hint="eastAsia" w:ascii="仿宋_GB2312" w:hAnsi="仿宋_GB2312" w:eastAsia="仿宋_GB2312" w:cs="仿宋_GB2312"/>
          <w:bCs/>
          <w:kern w:val="0"/>
          <w:sz w:val="32"/>
          <w:szCs w:val="32"/>
        </w:rPr>
        <w:t>导人流，拨打110或者120报警，在将现场人群往外疏散的同时，加强周边道路的交通疏导，尽快恢复正常秩序。</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bCs/>
          <w:kern w:val="0"/>
          <w:sz w:val="32"/>
          <w:szCs w:val="32"/>
        </w:rPr>
        <w:t>（四）一旦发生爆炸、投毒案时，执勤工作人员要迅速设置警戒线，保护中心现场，禁止无关人员进入现场，并拨打110报警。听从公安部门的意见，在固定出入口设置警戒线，凭证件进出现场，防止犯罪分子乘机逃出。现场内发现</w:t>
      </w:r>
      <w:r>
        <w:rPr>
          <w:rFonts w:hint="eastAsia" w:ascii="仿宋_GB2312" w:hAnsi="仿宋_GB2312" w:eastAsia="仿宋_GB2312" w:cs="仿宋_GB2312"/>
          <w:snapToGrid w:val="0"/>
          <w:color w:val="000000"/>
          <w:sz w:val="32"/>
          <w:szCs w:val="32"/>
        </w:rPr>
        <w:t>残留爆炸物品时，应立即疏散群众，设置禁行区，由排爆员进行排爆清理。</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snapToGrid w:val="0"/>
          <w:color w:val="000000"/>
          <w:sz w:val="32"/>
          <w:szCs w:val="32"/>
        </w:rPr>
        <w:t>（五）发生罪犯使用武器劫持或枪击领导、来宾和群众</w:t>
      </w:r>
      <w:r>
        <w:rPr>
          <w:rFonts w:hint="eastAsia" w:ascii="仿宋_GB2312" w:hAnsi="仿宋_GB2312" w:eastAsia="仿宋_GB2312" w:cs="仿宋_GB2312"/>
          <w:bCs/>
          <w:kern w:val="0"/>
          <w:sz w:val="32"/>
          <w:szCs w:val="32"/>
        </w:rPr>
        <w:t>等恐怖袭击、个人极端暴力行为等非常情况时，要立即划定警戒线，将无关人员疏散到安全地带，并拨打110报警。现场安保武装力量第一时间快速果断处置。</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eastAsia="仿宋_GB2312"/>
          <w:snapToGrid w:val="0"/>
          <w:color w:val="000000"/>
          <w:sz w:val="32"/>
          <w:szCs w:val="32"/>
        </w:rPr>
      </w:pPr>
      <w:r>
        <w:rPr>
          <w:rFonts w:hint="eastAsia" w:ascii="仿宋_GB2312" w:hAnsi="仿宋_GB2312" w:eastAsia="仿宋_GB2312" w:cs="仿宋_GB2312"/>
          <w:snapToGrid w:val="0"/>
          <w:color w:val="000000"/>
          <w:sz w:val="32"/>
          <w:szCs w:val="32"/>
        </w:rPr>
        <w:t>（六）发生暴力骚乱苗头时，应立即制止事态，根据公安部门的意见将闹事者带离现场；当骚乱事态呈进一步升级趋势时，要立即调派足够的安保力量对闹事人群进行分割控制，疏散人群，协助公安部门将带头闹事分子强行带走。</w:t>
      </w:r>
    </w:p>
    <w:p>
      <w:pPr>
        <w:pStyle w:val="3"/>
        <w:keepNext w:val="0"/>
        <w:keepLines w:val="0"/>
        <w:pageBreakBefore w:val="0"/>
        <w:widowControl w:val="0"/>
        <w:kinsoku/>
        <w:wordWrap/>
        <w:overflowPunct/>
        <w:topLinePunct w:val="0"/>
        <w:autoSpaceDE/>
        <w:autoSpaceDN/>
        <w:bidi w:val="0"/>
        <w:adjustRightInd w:val="0"/>
        <w:snapToGrid/>
        <w:spacing w:line="360" w:lineRule="auto"/>
        <w:ind w:firstLine="640"/>
        <w:textAlignment w:val="auto"/>
        <w:rPr>
          <w:rFonts w:eastAsia="仿宋_GB2312" w:cs="黑体"/>
          <w:snapToGrid w:val="0"/>
          <w:color w:val="000000"/>
          <w:sz w:val="32"/>
          <w:szCs w:val="32"/>
        </w:rPr>
      </w:pPr>
      <w:r>
        <w:rPr>
          <w:rFonts w:eastAsia="仿宋_GB2312" w:cs="黑体"/>
          <w:snapToGrid w:val="0"/>
          <w:color w:val="000000"/>
          <w:sz w:val="32"/>
          <w:szCs w:val="32"/>
        </w:rPr>
        <w:t>（</w:t>
      </w:r>
      <w:r>
        <w:rPr>
          <w:rFonts w:hint="eastAsia" w:eastAsia="仿宋_GB2312" w:cs="黑体"/>
          <w:snapToGrid w:val="0"/>
          <w:color w:val="000000"/>
          <w:sz w:val="32"/>
          <w:szCs w:val="32"/>
        </w:rPr>
        <w:t>七</w:t>
      </w:r>
      <w:r>
        <w:rPr>
          <w:rFonts w:eastAsia="仿宋_GB2312" w:cs="黑体"/>
          <w:snapToGrid w:val="0"/>
          <w:color w:val="000000"/>
          <w:sz w:val="32"/>
          <w:szCs w:val="32"/>
        </w:rPr>
        <w:t>）突发停电时，要立即组织广播宣传，告知参加活动人员保持冷静，以免发生意外，并尽快启用备用电源，保证各项活动正常进行。同时</w:t>
      </w:r>
      <w:r>
        <w:rPr>
          <w:rFonts w:hint="eastAsia" w:eastAsia="仿宋_GB2312" w:cs="黑体"/>
          <w:snapToGrid w:val="0"/>
          <w:color w:val="000000"/>
          <w:sz w:val="32"/>
          <w:szCs w:val="32"/>
        </w:rPr>
        <w:t>，</w:t>
      </w:r>
      <w:r>
        <w:rPr>
          <w:rFonts w:eastAsia="仿宋_GB2312" w:cs="黑体"/>
          <w:snapToGrid w:val="0"/>
          <w:color w:val="000000"/>
          <w:sz w:val="32"/>
          <w:szCs w:val="32"/>
        </w:rPr>
        <w:t>组织人员进行检查，发现并彻底排除故障。安全保卫工作组和</w:t>
      </w:r>
      <w:r>
        <w:rPr>
          <w:rFonts w:hint="eastAsia" w:eastAsia="仿宋_GB2312" w:cs="黑体"/>
          <w:snapToGrid w:val="0"/>
          <w:color w:val="000000"/>
          <w:sz w:val="32"/>
          <w:szCs w:val="32"/>
        </w:rPr>
        <w:t>后勤工作组</w:t>
      </w:r>
      <w:r>
        <w:rPr>
          <w:rFonts w:eastAsia="仿宋_GB2312" w:cs="黑体"/>
          <w:snapToGrid w:val="0"/>
          <w:color w:val="000000"/>
          <w:sz w:val="32"/>
          <w:szCs w:val="32"/>
        </w:rPr>
        <w:t>要协助场内</w:t>
      </w:r>
      <w:r>
        <w:rPr>
          <w:rFonts w:hint="eastAsia" w:eastAsia="仿宋_GB2312" w:cs="黑体"/>
          <w:snapToGrid w:val="0"/>
          <w:color w:val="000000"/>
          <w:sz w:val="32"/>
          <w:szCs w:val="32"/>
        </w:rPr>
        <w:t>工作人员和志愿者维</w:t>
      </w:r>
      <w:r>
        <w:rPr>
          <w:rFonts w:eastAsia="仿宋_GB2312" w:cs="黑体"/>
          <w:snapToGrid w:val="0"/>
          <w:color w:val="000000"/>
          <w:sz w:val="32"/>
          <w:szCs w:val="32"/>
        </w:rPr>
        <w:t>持好现场的秩序。</w:t>
      </w:r>
    </w:p>
    <w:p>
      <w:pPr>
        <w:pStyle w:val="3"/>
        <w:keepNext w:val="0"/>
        <w:keepLines w:val="0"/>
        <w:pageBreakBefore w:val="0"/>
        <w:widowControl w:val="0"/>
        <w:kinsoku/>
        <w:wordWrap/>
        <w:overflowPunct/>
        <w:topLinePunct w:val="0"/>
        <w:autoSpaceDE/>
        <w:autoSpaceDN/>
        <w:bidi w:val="0"/>
        <w:adjustRightInd w:val="0"/>
        <w:snapToGrid/>
        <w:spacing w:line="360" w:lineRule="auto"/>
        <w:ind w:firstLine="640"/>
        <w:textAlignment w:val="auto"/>
        <w:rPr>
          <w:rFonts w:eastAsia="仿宋_GB2312"/>
          <w:snapToGrid w:val="0"/>
          <w:color w:val="000000"/>
          <w:sz w:val="32"/>
          <w:szCs w:val="32"/>
        </w:rPr>
      </w:pPr>
      <w:r>
        <w:rPr>
          <w:rFonts w:eastAsia="仿宋_GB2312" w:cs="黑体"/>
          <w:snapToGrid w:val="0"/>
          <w:color w:val="000000"/>
          <w:sz w:val="32"/>
          <w:szCs w:val="32"/>
        </w:rPr>
        <w:t>（</w:t>
      </w:r>
      <w:r>
        <w:rPr>
          <w:rFonts w:hint="eastAsia" w:eastAsia="仿宋_GB2312" w:cs="黑体"/>
          <w:snapToGrid w:val="0"/>
          <w:color w:val="000000"/>
          <w:sz w:val="32"/>
          <w:szCs w:val="32"/>
        </w:rPr>
        <w:t>八</w:t>
      </w:r>
      <w:r>
        <w:rPr>
          <w:rFonts w:eastAsia="仿宋_GB2312" w:cs="黑体"/>
          <w:snapToGrid w:val="0"/>
          <w:color w:val="000000"/>
          <w:sz w:val="32"/>
          <w:szCs w:val="32"/>
        </w:rPr>
        <w:t>）突发事件中涉及境外人士，</w:t>
      </w:r>
      <w:r>
        <w:rPr>
          <w:rFonts w:hint="eastAsia" w:eastAsia="仿宋_GB2312" w:cs="黑体"/>
          <w:snapToGrid w:val="0"/>
          <w:color w:val="000000"/>
          <w:sz w:val="32"/>
          <w:szCs w:val="32"/>
        </w:rPr>
        <w:t>按照程序及时会同外事部门和公安部门联系，并按照外事部门和公安部门的意见</w:t>
      </w:r>
      <w:r>
        <w:rPr>
          <w:rFonts w:eastAsia="仿宋_GB2312" w:cs="黑体"/>
          <w:snapToGrid w:val="0"/>
          <w:color w:val="000000"/>
          <w:sz w:val="32"/>
          <w:szCs w:val="32"/>
        </w:rPr>
        <w:t>妥善处理</w:t>
      </w:r>
      <w:r>
        <w:rPr>
          <w:rFonts w:hint="eastAsia" w:eastAsia="仿宋_GB2312" w:cs="黑体"/>
          <w:snapToGrid w:val="0"/>
          <w:color w:val="000000"/>
          <w:sz w:val="32"/>
          <w:szCs w:val="32"/>
        </w:rPr>
        <w:t>，等待支援</w:t>
      </w:r>
      <w:r>
        <w:rPr>
          <w:rFonts w:eastAsia="仿宋_GB2312" w:cs="黑体"/>
          <w:snapToGrid w:val="0"/>
          <w:color w:val="000000"/>
          <w:sz w:val="32"/>
          <w:szCs w:val="32"/>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五、应急处置流程</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执勤人员发现突发情况→安全保卫组→指挥组，下达处置指令→各相关工作组迅速前往事发现场→控制现场、医疗保障、引导舆论→跟踪突发事件后续情况。</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六、有关要求与注意事项</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eastAsia="仿宋_GB2312"/>
          <w:snapToGrid w:val="0"/>
          <w:color w:val="000000"/>
          <w:sz w:val="32"/>
          <w:szCs w:val="32"/>
        </w:rPr>
      </w:pPr>
      <w:r>
        <w:rPr>
          <w:rFonts w:eastAsia="仿宋_GB2312"/>
          <w:snapToGrid w:val="0"/>
          <w:color w:val="000000"/>
          <w:sz w:val="32"/>
          <w:szCs w:val="32"/>
        </w:rPr>
        <w:t>（一）</w:t>
      </w:r>
      <w:r>
        <w:rPr>
          <w:rFonts w:hint="eastAsia" w:eastAsia="仿宋_GB2312"/>
          <w:snapToGrid w:val="0"/>
          <w:color w:val="000000"/>
          <w:sz w:val="32"/>
          <w:szCs w:val="32"/>
        </w:rPr>
        <w:t>指挥部</w:t>
      </w:r>
      <w:r>
        <w:rPr>
          <w:rFonts w:eastAsia="仿宋_GB2312"/>
          <w:snapToGrid w:val="0"/>
          <w:color w:val="000000"/>
          <w:sz w:val="32"/>
          <w:szCs w:val="32"/>
        </w:rPr>
        <w:t>事前</w:t>
      </w:r>
      <w:r>
        <w:rPr>
          <w:rFonts w:hint="eastAsia" w:eastAsia="仿宋_GB2312"/>
          <w:snapToGrid w:val="0"/>
          <w:color w:val="000000"/>
          <w:sz w:val="32"/>
          <w:szCs w:val="32"/>
        </w:rPr>
        <w:t>对参加活动保障工作人员</w:t>
      </w:r>
      <w:r>
        <w:rPr>
          <w:rFonts w:eastAsia="仿宋_GB2312"/>
          <w:snapToGrid w:val="0"/>
          <w:color w:val="000000"/>
          <w:sz w:val="32"/>
          <w:szCs w:val="32"/>
        </w:rPr>
        <w:t>进行思想动员，增强政治敏感性和工作责任心，明确任务分工。同时</w:t>
      </w:r>
      <w:r>
        <w:rPr>
          <w:rFonts w:hint="eastAsia" w:eastAsia="仿宋_GB2312"/>
          <w:snapToGrid w:val="0"/>
          <w:color w:val="000000"/>
          <w:sz w:val="32"/>
          <w:szCs w:val="32"/>
        </w:rPr>
        <w:t>，</w:t>
      </w:r>
      <w:r>
        <w:rPr>
          <w:rFonts w:eastAsia="仿宋_GB2312"/>
          <w:snapToGrid w:val="0"/>
          <w:color w:val="000000"/>
          <w:sz w:val="32"/>
          <w:szCs w:val="32"/>
        </w:rPr>
        <w:t>根据自身职能，在此预案基础上制定周密详尽、可操作性强的分预案，并把各种应急物资准备充足，随时准备处置突发事件。</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eastAsia="仿宋_GB2312"/>
          <w:snapToGrid w:val="0"/>
          <w:color w:val="000000"/>
          <w:sz w:val="32"/>
          <w:szCs w:val="32"/>
        </w:rPr>
      </w:pPr>
      <w:r>
        <w:rPr>
          <w:rFonts w:eastAsia="仿宋_GB2312"/>
          <w:snapToGrid w:val="0"/>
          <w:color w:val="000000"/>
          <w:sz w:val="32"/>
          <w:szCs w:val="32"/>
        </w:rPr>
        <w:t>（二）突发事件发生后，</w:t>
      </w:r>
      <w:r>
        <w:rPr>
          <w:rFonts w:hint="eastAsia" w:eastAsia="仿宋_GB2312"/>
          <w:snapToGrid w:val="0"/>
          <w:color w:val="000000"/>
          <w:sz w:val="32"/>
          <w:szCs w:val="32"/>
        </w:rPr>
        <w:t>安保工作小组</w:t>
      </w:r>
      <w:r>
        <w:rPr>
          <w:rFonts w:eastAsia="仿宋_GB2312"/>
          <w:snapToGrid w:val="0"/>
          <w:color w:val="000000"/>
          <w:sz w:val="32"/>
          <w:szCs w:val="32"/>
        </w:rPr>
        <w:t>要</w:t>
      </w:r>
      <w:r>
        <w:rPr>
          <w:rFonts w:hint="eastAsia" w:eastAsia="仿宋_GB2312"/>
          <w:snapToGrid w:val="0"/>
          <w:color w:val="000000"/>
          <w:sz w:val="32"/>
          <w:szCs w:val="32"/>
        </w:rPr>
        <w:t>协助属地公安部门</w:t>
      </w:r>
      <w:r>
        <w:rPr>
          <w:rFonts w:eastAsia="仿宋_GB2312"/>
          <w:snapToGrid w:val="0"/>
          <w:color w:val="000000"/>
          <w:sz w:val="32"/>
          <w:szCs w:val="32"/>
        </w:rPr>
        <w:t>做好现场取证、勘查和对重要犯罪嫌疑人的监控工作，迅速侦破案件，消除不良影响。</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eastAsia="仿宋_GB2312"/>
          <w:snapToGrid w:val="0"/>
          <w:color w:val="000000"/>
          <w:sz w:val="32"/>
          <w:szCs w:val="32"/>
        </w:rPr>
      </w:pPr>
      <w:r>
        <w:rPr>
          <w:rFonts w:eastAsia="仿宋_GB2312"/>
          <w:snapToGrid w:val="0"/>
          <w:color w:val="000000"/>
          <w:sz w:val="32"/>
          <w:szCs w:val="32"/>
        </w:rPr>
        <w:t>（三）各</w:t>
      </w:r>
      <w:r>
        <w:rPr>
          <w:rFonts w:hint="eastAsia" w:eastAsia="仿宋_GB2312"/>
          <w:snapToGrid w:val="0"/>
          <w:color w:val="000000"/>
          <w:sz w:val="32"/>
          <w:szCs w:val="32"/>
        </w:rPr>
        <w:t>工作小组</w:t>
      </w:r>
      <w:r>
        <w:rPr>
          <w:rFonts w:eastAsia="仿宋_GB2312"/>
          <w:snapToGrid w:val="0"/>
          <w:color w:val="000000"/>
          <w:sz w:val="32"/>
          <w:szCs w:val="32"/>
        </w:rPr>
        <w:t>要明确职责分工和措施要求，并携带相应警械及通讯、宣传</w:t>
      </w:r>
      <w:r>
        <w:rPr>
          <w:rFonts w:hint="eastAsia" w:eastAsia="仿宋_GB2312"/>
          <w:snapToGrid w:val="0"/>
          <w:color w:val="000000"/>
          <w:sz w:val="32"/>
          <w:szCs w:val="32"/>
        </w:rPr>
        <w:t>、</w:t>
      </w:r>
      <w:r>
        <w:rPr>
          <w:rFonts w:eastAsia="仿宋_GB2312"/>
          <w:snapToGrid w:val="0"/>
          <w:color w:val="000000"/>
          <w:sz w:val="32"/>
          <w:szCs w:val="32"/>
        </w:rPr>
        <w:t>消防、防护、取证器材。</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eastAsia="仿宋_GB2312"/>
          <w:snapToGrid w:val="0"/>
          <w:color w:val="000000"/>
          <w:sz w:val="32"/>
          <w:szCs w:val="32"/>
        </w:rPr>
      </w:pPr>
      <w:r>
        <w:rPr>
          <w:rFonts w:eastAsia="仿宋_GB2312"/>
          <w:snapToGrid w:val="0"/>
          <w:color w:val="000000"/>
          <w:sz w:val="32"/>
          <w:szCs w:val="32"/>
        </w:rPr>
        <w:t>（四）突发事件的宣传报道工作</w:t>
      </w:r>
      <w:r>
        <w:rPr>
          <w:rFonts w:hint="eastAsia" w:eastAsia="仿宋_GB2312"/>
          <w:snapToGrid w:val="0"/>
          <w:color w:val="000000"/>
          <w:sz w:val="32"/>
          <w:szCs w:val="32"/>
        </w:rPr>
        <w:t>，须</w:t>
      </w:r>
      <w:r>
        <w:rPr>
          <w:rFonts w:eastAsia="仿宋_GB2312"/>
          <w:snapToGrid w:val="0"/>
          <w:color w:val="000000"/>
          <w:sz w:val="32"/>
          <w:szCs w:val="32"/>
        </w:rPr>
        <w:t>经</w:t>
      </w:r>
      <w:r>
        <w:rPr>
          <w:rFonts w:hint="eastAsia" w:eastAsia="仿宋_GB2312"/>
          <w:snapToGrid w:val="0"/>
          <w:color w:val="000000"/>
          <w:sz w:val="32"/>
          <w:szCs w:val="32"/>
        </w:rPr>
        <w:t>主办单位及所属体育行政部门审查后</w:t>
      </w:r>
      <w:r>
        <w:rPr>
          <w:rFonts w:eastAsia="仿宋_GB2312"/>
          <w:snapToGrid w:val="0"/>
          <w:color w:val="000000"/>
          <w:sz w:val="32"/>
          <w:szCs w:val="32"/>
        </w:rPr>
        <w:t>发布。其他单位和个人不得擅自将事件有关情况向记者和外界透露，严防某些别有用心的人有意歪曲事实，制造混乱。</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eastAsia="仿宋_GB2312"/>
          <w:snapToGrid w:val="0"/>
          <w:color w:val="000000"/>
          <w:sz w:val="32"/>
          <w:szCs w:val="32"/>
        </w:rPr>
      </w:pPr>
      <w:r>
        <w:rPr>
          <w:rFonts w:eastAsia="仿宋_GB2312"/>
          <w:snapToGrid w:val="0"/>
          <w:color w:val="000000"/>
          <w:sz w:val="32"/>
          <w:szCs w:val="32"/>
        </w:rPr>
        <w:t>（五）参加应急处置的</w:t>
      </w:r>
      <w:r>
        <w:rPr>
          <w:rFonts w:hint="eastAsia" w:eastAsia="仿宋_GB2312"/>
          <w:snapToGrid w:val="0"/>
          <w:color w:val="000000"/>
          <w:sz w:val="32"/>
          <w:szCs w:val="32"/>
        </w:rPr>
        <w:t>工作人员</w:t>
      </w:r>
      <w:r>
        <w:rPr>
          <w:rFonts w:eastAsia="仿宋_GB2312"/>
          <w:snapToGrid w:val="0"/>
          <w:color w:val="000000"/>
          <w:sz w:val="32"/>
          <w:szCs w:val="32"/>
        </w:rPr>
        <w:t>要严守纪律、听从指挥。除遇特别紧急情况，不得擅自离岗，随意行动。接到处置突发事件的命令后，立即赶赴现场进行处置，处置时要讲究方法和策略，并加强请示报告。</w:t>
      </w:r>
    </w:p>
    <w:p>
      <w:pPr>
        <w:rPr>
          <w:rFonts w:eastAsia="仿宋_GB2312"/>
          <w:snapToGrid w:val="0"/>
          <w:color w:val="000000"/>
          <w:sz w:val="32"/>
          <w:szCs w:val="32"/>
        </w:rPr>
      </w:pPr>
      <w:r>
        <w:rPr>
          <w:rFonts w:eastAsia="仿宋_GB2312"/>
          <w:snapToGrid w:val="0"/>
          <w:color w:val="00000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XXXXX</w:t>
      </w:r>
      <w:r>
        <w:rPr>
          <w:rFonts w:hint="eastAsia" w:ascii="方正小标宋_GBK" w:hAnsi="方正小标宋_GBK" w:eastAsia="方正小标宋_GBK" w:cs="方正小标宋_GBK"/>
          <w:sz w:val="44"/>
          <w:szCs w:val="44"/>
          <w:lang w:val="en-US" w:eastAsia="zh-CN"/>
        </w:rPr>
        <w:t>赛事活动</w:t>
      </w:r>
      <w:r>
        <w:rPr>
          <w:rFonts w:hint="eastAsia" w:ascii="方正小标宋_GBK" w:hAnsi="方正小标宋_GBK" w:eastAsia="方正小标宋_GBK" w:cs="方正小标宋_GBK"/>
          <w:sz w:val="44"/>
          <w:szCs w:val="44"/>
        </w:rPr>
        <w:t>应急演练方案</w:t>
      </w:r>
    </w:p>
    <w:p>
      <w:pPr>
        <w:spacing w:line="600" w:lineRule="exact"/>
        <w:jc w:val="center"/>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（模板）</w:t>
      </w:r>
    </w:p>
    <w:p>
      <w:pPr>
        <w:adjustRightInd w:val="0"/>
        <w:snapToGrid w:val="0"/>
        <w:spacing w:line="600" w:lineRule="exact"/>
        <w:rPr>
          <w:rFonts w:ascii="方正小标宋简体" w:hAnsi="方正小标宋简体" w:eastAsia="方正小标宋简体" w:cs="方正小标宋简体"/>
          <w:sz w:val="32"/>
          <w:szCs w:val="32"/>
        </w:rPr>
      </w:pPr>
    </w:p>
    <w:p>
      <w:pPr>
        <w:ind w:firstLine="640" w:firstLineChars="200"/>
        <w:rPr>
          <w:rFonts w:eastAsia="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国家体育总局《体育赛事活动管理办法》（国家体育总局令第</w:t>
      </w:r>
      <w:r>
        <w:rPr>
          <w:rFonts w:hint="eastAsia" w:ascii="仿宋_GB2312" w:hAnsi="仿宋_GB2312" w:eastAsia="仿宋_GB2312" w:cs="仿宋_GB2312"/>
          <w:sz w:val="32"/>
          <w:szCs w:val="32"/>
          <w:lang w:val="en-US" w:eastAsia="zh-CN"/>
        </w:rPr>
        <w:t>31号</w:t>
      </w:r>
      <w:r>
        <w:rPr>
          <w:rFonts w:hint="eastAsia" w:ascii="仿宋_GB2312" w:hAnsi="仿宋_GB2312" w:eastAsia="仿宋_GB2312" w:cs="仿宋_GB2312"/>
          <w:sz w:val="32"/>
          <w:szCs w:val="32"/>
          <w:lang w:eastAsia="zh-CN"/>
        </w:rPr>
        <w:t>）和国家体育总局等</w:t>
      </w:r>
      <w:r>
        <w:rPr>
          <w:rFonts w:hint="eastAsia" w:ascii="仿宋_GB2312" w:hAnsi="仿宋_GB2312" w:eastAsia="仿宋_GB2312" w:cs="仿宋_GB2312"/>
          <w:sz w:val="32"/>
          <w:szCs w:val="32"/>
          <w:lang w:val="en-US" w:eastAsia="zh-CN"/>
        </w:rPr>
        <w:t>11部委《关于进一步加强体育赛事活动安全监管服务工作的意见》（体规字〔2021〕3号），以及</w:t>
      </w:r>
      <w:r>
        <w:rPr>
          <w:rFonts w:hint="eastAsia" w:ascii="仿宋_GB2312" w:hAnsi="仿宋_GB2312" w:eastAsia="仿宋_GB2312" w:cs="仿宋_GB2312"/>
          <w:sz w:val="32"/>
          <w:szCs w:val="32"/>
          <w:lang w:eastAsia="zh-CN"/>
        </w:rPr>
        <w:t>广东省体育局等十一部门</w:t>
      </w:r>
      <w:r>
        <w:rPr>
          <w:rFonts w:hint="eastAsia" w:ascii="仿宋_GB2312" w:hAnsi="仿宋_GB2312" w:eastAsia="仿宋_GB2312" w:cs="仿宋_GB2312"/>
          <w:sz w:val="32"/>
          <w:szCs w:val="32"/>
        </w:rPr>
        <w:t>《关于进一步加强广东省体育赛事活动安全监管服务工作的通知》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粤体规〔2022〕2号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等文件精神，</w:t>
      </w:r>
      <w:r>
        <w:rPr>
          <w:rFonts w:hint="eastAsia" w:eastAsia="仿宋_GB2312"/>
          <w:sz w:val="32"/>
          <w:szCs w:val="32"/>
        </w:rPr>
        <w:t>为进一步贯彻全国体育系统加强赛事安全管理工作会议精神，切实做好体育赛事活动</w:t>
      </w:r>
      <w:r>
        <w:rPr>
          <w:rFonts w:hint="eastAsia" w:ascii="仿宋_GB2312" w:hAnsi="仿宋_GB2312" w:eastAsia="仿宋_GB2312" w:cs="仿宋_GB2312"/>
          <w:sz w:val="32"/>
          <w:szCs w:val="32"/>
          <w:lang w:eastAsia="zh-CN"/>
        </w:rPr>
        <w:t>安全管理工作，加强安全保障、突发事件工作，确保XXXXX</w:t>
      </w:r>
      <w:r>
        <w:rPr>
          <w:rFonts w:hint="eastAsia" w:ascii="仿宋_GB2312" w:hAnsi="仿宋_GB2312" w:eastAsia="仿宋_GB2312" w:cs="仿宋_GB2312"/>
          <w:sz w:val="32"/>
          <w:szCs w:val="32"/>
          <w:lang w:val="en-US" w:eastAsia="zh-CN"/>
        </w:rPr>
        <w:t>赛事活动</w:t>
      </w:r>
      <w:r>
        <w:rPr>
          <w:rFonts w:hint="eastAsia" w:ascii="仿宋_GB2312" w:hAnsi="仿宋_GB2312" w:eastAsia="仿宋_GB2312" w:cs="仿宋_GB2312"/>
          <w:sz w:val="32"/>
          <w:szCs w:val="32"/>
          <w:lang w:eastAsia="zh-CN"/>
        </w:rPr>
        <w:t>组织工作安全有序进行，特制定本演</w:t>
      </w:r>
      <w:r>
        <w:rPr>
          <w:rFonts w:hint="eastAsia" w:eastAsia="仿宋_GB2312"/>
          <w:sz w:val="32"/>
          <w:szCs w:val="32"/>
        </w:rPr>
        <w:t>练工作方案：</w:t>
      </w:r>
    </w:p>
    <w:p>
      <w:pPr>
        <w:numPr>
          <w:ilvl w:val="0"/>
          <w:numId w:val="3"/>
        </w:num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演练目的</w:t>
      </w:r>
    </w:p>
    <w:p>
      <w:pPr>
        <w:numPr>
          <w:ilvl w:val="255"/>
          <w:numId w:val="0"/>
        </w:numPr>
        <w:ind w:firstLine="640" w:firstLineChars="200"/>
        <w:rPr>
          <w:rFonts w:eastAsia="仿宋_GB2312"/>
          <w:sz w:val="32"/>
          <w:szCs w:val="32"/>
        </w:rPr>
      </w:pPr>
      <w:r>
        <w:rPr>
          <w:rFonts w:hint="eastAsia" w:ascii="仿宋_GB2312" w:hAnsi="仿宋_GB2312" w:eastAsia="仿宋_GB2312" w:cs="仿宋_GB2312"/>
          <w:sz w:val="32"/>
          <w:szCs w:val="32"/>
          <w:lang w:eastAsia="zh-CN"/>
        </w:rPr>
        <w:t>通过组织XXXXX</w:t>
      </w:r>
      <w:r>
        <w:rPr>
          <w:rFonts w:hint="eastAsia" w:ascii="仿宋_GB2312" w:hAnsi="仿宋_GB2312" w:eastAsia="仿宋_GB2312" w:cs="仿宋_GB2312"/>
          <w:sz w:val="32"/>
          <w:szCs w:val="32"/>
          <w:lang w:val="en-US" w:eastAsia="zh-CN"/>
        </w:rPr>
        <w:t>赛事活动</w:t>
      </w:r>
      <w:r>
        <w:rPr>
          <w:rFonts w:hint="eastAsia" w:ascii="仿宋_GB2312" w:hAnsi="仿宋_GB2312" w:eastAsia="仿宋_GB2312" w:cs="仿宋_GB2312"/>
          <w:sz w:val="32"/>
          <w:szCs w:val="32"/>
          <w:lang w:eastAsia="zh-CN"/>
        </w:rPr>
        <w:t>应急模拟演练，强化应急处</w:t>
      </w:r>
      <w:r>
        <w:rPr>
          <w:rFonts w:hint="eastAsia" w:eastAsia="仿宋_GB2312"/>
          <w:sz w:val="32"/>
          <w:szCs w:val="32"/>
        </w:rPr>
        <w:t>置意识，明确和熟练地掌握各项应急工作的处置流程、工作指标及要点，检验各工作岗位的应急处置能力，及时发现工作漏洞及时解决，确保活动安全顺利举行。</w:t>
      </w:r>
    </w:p>
    <w:p>
      <w:pPr>
        <w:numPr>
          <w:ilvl w:val="0"/>
          <w:numId w:val="3"/>
        </w:num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演练时间和地点</w:t>
      </w:r>
    </w:p>
    <w:p>
      <w:pPr>
        <w:numPr>
          <w:ilvl w:val="255"/>
          <w:numId w:val="0"/>
        </w:numPr>
        <w:ind w:firstLine="640" w:firstLineChars="200"/>
        <w:rPr>
          <w:rFonts w:eastAsia="仿宋_GB2312"/>
          <w:sz w:val="32"/>
          <w:szCs w:val="32"/>
        </w:rPr>
      </w:pPr>
      <w:r>
        <w:rPr>
          <w:rFonts w:hint="eastAsia" w:eastAsia="仿宋_GB2312"/>
          <w:sz w:val="32"/>
          <w:szCs w:val="32"/>
        </w:rPr>
        <w:t xml:space="preserve">演练时间：待定 </w:t>
      </w:r>
    </w:p>
    <w:p>
      <w:pPr>
        <w:numPr>
          <w:ilvl w:val="255"/>
          <w:numId w:val="0"/>
        </w:numPr>
        <w:ind w:firstLine="640" w:firstLineChars="200"/>
        <w:rPr>
          <w:rFonts w:eastAsia="仿宋_GB2312"/>
          <w:sz w:val="32"/>
          <w:szCs w:val="32"/>
        </w:rPr>
      </w:pPr>
      <w:r>
        <w:rPr>
          <w:rFonts w:hint="eastAsia" w:eastAsia="仿宋_GB2312"/>
          <w:sz w:val="32"/>
          <w:szCs w:val="32"/>
        </w:rPr>
        <w:t>演练地点：待定</w:t>
      </w:r>
    </w:p>
    <w:p>
      <w:pPr>
        <w:numPr>
          <w:ilvl w:val="0"/>
          <w:numId w:val="3"/>
        </w:num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参加人员和分工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（一）指挥人员及职责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1.演练领导小组（现场指挥组）</w:t>
      </w:r>
    </w:p>
    <w:p>
      <w:pPr>
        <w:numPr>
          <w:ilvl w:val="255"/>
          <w:numId w:val="0"/>
        </w:numPr>
        <w:ind w:firstLine="640" w:firstLineChars="200"/>
        <w:rPr>
          <w:rFonts w:eastAsia="仿宋_GB2312"/>
          <w:sz w:val="32"/>
          <w:szCs w:val="32"/>
        </w:rPr>
      </w:pPr>
      <w:r>
        <w:rPr>
          <w:rFonts w:hint="eastAsia" w:eastAsia="仿宋_GB2312"/>
          <w:sz w:val="32"/>
          <w:szCs w:val="32"/>
        </w:rPr>
        <w:t>组  长（总指挥）：</w:t>
      </w:r>
    </w:p>
    <w:p>
      <w:pPr>
        <w:numPr>
          <w:ilvl w:val="255"/>
          <w:numId w:val="0"/>
        </w:numPr>
        <w:ind w:firstLine="640" w:firstLineChars="200"/>
        <w:rPr>
          <w:rFonts w:eastAsia="仿宋_GB2312"/>
          <w:sz w:val="32"/>
          <w:szCs w:val="32"/>
        </w:rPr>
      </w:pPr>
      <w:r>
        <w:rPr>
          <w:rFonts w:hint="eastAsia" w:eastAsia="仿宋_GB2312"/>
          <w:sz w:val="32"/>
          <w:szCs w:val="32"/>
        </w:rPr>
        <w:t>副组长（副总指挥）：</w:t>
      </w:r>
    </w:p>
    <w:p>
      <w:pPr>
        <w:numPr>
          <w:ilvl w:val="255"/>
          <w:numId w:val="0"/>
        </w:numPr>
        <w:ind w:firstLine="640" w:firstLineChars="200"/>
        <w:rPr>
          <w:rFonts w:eastAsia="仿宋_GB2312"/>
          <w:sz w:val="32"/>
          <w:szCs w:val="32"/>
        </w:rPr>
      </w:pPr>
      <w:r>
        <w:rPr>
          <w:rFonts w:hint="eastAsia" w:eastAsia="仿宋_GB2312"/>
          <w:sz w:val="32"/>
          <w:szCs w:val="32"/>
        </w:rPr>
        <w:t>小组成员（指挥）：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2.职责</w:t>
      </w:r>
    </w:p>
    <w:p>
      <w:pPr>
        <w:ind w:firstLine="640" w:firstLineChars="200"/>
        <w:rPr>
          <w:rFonts w:eastAsia="仿宋_GB2312"/>
          <w:sz w:val="32"/>
          <w:szCs w:val="32"/>
        </w:rPr>
      </w:pPr>
      <w:r>
        <w:rPr>
          <w:rFonts w:eastAsia="仿宋_GB2312"/>
          <w:sz w:val="32"/>
          <w:szCs w:val="32"/>
        </w:rPr>
        <w:t>现场总指挥：全权负责、指挥、调度、协调相关部门做好演练的准备和演练工作，取得实质性效果。</w:t>
      </w:r>
    </w:p>
    <w:p>
      <w:pPr>
        <w:ind w:firstLine="640" w:firstLineChars="200"/>
        <w:rPr>
          <w:rFonts w:eastAsia="仿宋_GB2312"/>
          <w:sz w:val="32"/>
          <w:szCs w:val="32"/>
        </w:rPr>
      </w:pPr>
      <w:r>
        <w:rPr>
          <w:rFonts w:eastAsia="仿宋_GB2312"/>
          <w:sz w:val="32"/>
          <w:szCs w:val="32"/>
        </w:rPr>
        <w:t>现场</w:t>
      </w:r>
      <w:r>
        <w:rPr>
          <w:rFonts w:hint="eastAsia" w:eastAsia="仿宋_GB2312"/>
          <w:sz w:val="32"/>
          <w:szCs w:val="32"/>
        </w:rPr>
        <w:t>副总</w:t>
      </w:r>
      <w:r>
        <w:rPr>
          <w:rFonts w:eastAsia="仿宋_GB2312"/>
          <w:sz w:val="32"/>
          <w:szCs w:val="32"/>
        </w:rPr>
        <w:t>指挥：配合协助总指挥做好现场调度、协调指挥工作。</w:t>
      </w:r>
    </w:p>
    <w:p>
      <w:pPr>
        <w:ind w:firstLine="640" w:firstLineChars="200"/>
        <w:rPr>
          <w:rFonts w:eastAsia="仿宋_GB2312"/>
          <w:sz w:val="32"/>
          <w:szCs w:val="32"/>
        </w:rPr>
      </w:pPr>
      <w:r>
        <w:rPr>
          <w:rFonts w:hint="eastAsia" w:eastAsia="仿宋_GB2312"/>
          <w:sz w:val="32"/>
          <w:szCs w:val="32"/>
        </w:rPr>
        <w:t>小组成员：第一时间落实总指挥的各项安全保障工作。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（二）执行组职责和分工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1.安全保障执行组</w:t>
      </w:r>
    </w:p>
    <w:p>
      <w:pPr>
        <w:ind w:firstLine="640" w:firstLineChars="200"/>
        <w:rPr>
          <w:rFonts w:eastAsia="仿宋_GB2312"/>
          <w:sz w:val="32"/>
          <w:szCs w:val="32"/>
        </w:rPr>
      </w:pPr>
      <w:r>
        <w:rPr>
          <w:rFonts w:eastAsia="仿宋_GB2312"/>
          <w:sz w:val="32"/>
          <w:szCs w:val="32"/>
        </w:rPr>
        <w:t>组  长：</w:t>
      </w:r>
    </w:p>
    <w:p>
      <w:pPr>
        <w:ind w:firstLine="640" w:firstLineChars="200"/>
        <w:rPr>
          <w:rFonts w:eastAsia="仿宋_GB2312"/>
          <w:sz w:val="32"/>
          <w:szCs w:val="32"/>
        </w:rPr>
      </w:pPr>
      <w:r>
        <w:rPr>
          <w:rFonts w:eastAsia="仿宋_GB2312"/>
          <w:sz w:val="32"/>
          <w:szCs w:val="32"/>
        </w:rPr>
        <w:t>副组长：</w:t>
      </w:r>
    </w:p>
    <w:p>
      <w:pPr>
        <w:ind w:firstLine="640" w:firstLineChars="200"/>
        <w:rPr>
          <w:rFonts w:eastAsia="仿宋_GB2312"/>
          <w:sz w:val="32"/>
          <w:szCs w:val="32"/>
        </w:rPr>
      </w:pPr>
      <w:r>
        <w:rPr>
          <w:rFonts w:eastAsia="仿宋_GB2312"/>
          <w:sz w:val="32"/>
          <w:szCs w:val="32"/>
        </w:rPr>
        <w:t>小组成员：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ind w:firstLine="640" w:firstLineChars="200"/>
        <w:rPr>
          <w:rFonts w:eastAsia="仿宋_GB2312"/>
          <w:sz w:val="32"/>
          <w:szCs w:val="32"/>
        </w:rPr>
      </w:pPr>
      <w:r>
        <w:rPr>
          <w:rFonts w:eastAsia="仿宋_GB2312"/>
          <w:sz w:val="32"/>
          <w:szCs w:val="32"/>
        </w:rPr>
        <w:t>执行组下设：</w:t>
      </w:r>
      <w:r>
        <w:rPr>
          <w:rFonts w:hint="eastAsia" w:eastAsia="仿宋_GB2312"/>
          <w:sz w:val="32"/>
          <w:szCs w:val="32"/>
        </w:rPr>
        <w:t>安保小组、应急处置小组、</w:t>
      </w:r>
      <w:r>
        <w:rPr>
          <w:rFonts w:eastAsia="仿宋_GB2312"/>
          <w:sz w:val="32"/>
          <w:szCs w:val="32"/>
        </w:rPr>
        <w:t>后勤保障小组</w:t>
      </w:r>
    </w:p>
    <w:p>
      <w:pPr>
        <w:ind w:firstLine="640" w:firstLineChars="200"/>
        <w:rPr>
          <w:rFonts w:eastAsia="仿宋_GB2312"/>
          <w:sz w:val="32"/>
          <w:szCs w:val="32"/>
        </w:rPr>
      </w:pPr>
      <w:r>
        <w:rPr>
          <w:rFonts w:hint="eastAsia" w:eastAsia="仿宋_GB2312"/>
          <w:sz w:val="32"/>
          <w:szCs w:val="32"/>
        </w:rPr>
        <w:t>安保小组职责：负责维护活动现场秩序，保障参与活动人员的人身财产安全，协调</w:t>
      </w:r>
      <w:r>
        <w:rPr>
          <w:rFonts w:eastAsia="仿宋_GB2312"/>
          <w:sz w:val="32"/>
          <w:szCs w:val="32"/>
        </w:rPr>
        <w:t>公安、消防、卫生、交通等相关部门</w:t>
      </w:r>
      <w:r>
        <w:rPr>
          <w:rFonts w:hint="eastAsia" w:eastAsia="仿宋_GB2312"/>
          <w:sz w:val="32"/>
          <w:szCs w:val="32"/>
        </w:rPr>
        <w:t>妥善处置突发事件，指挥</w:t>
      </w:r>
      <w:r>
        <w:rPr>
          <w:rFonts w:eastAsia="仿宋_GB2312"/>
          <w:sz w:val="32"/>
          <w:szCs w:val="32"/>
        </w:rPr>
        <w:t>救助受伤、受困人员</w:t>
      </w:r>
      <w:r>
        <w:rPr>
          <w:rFonts w:hint="eastAsia" w:eastAsia="仿宋_GB2312"/>
          <w:sz w:val="32"/>
          <w:szCs w:val="32"/>
        </w:rPr>
        <w:t>，</w:t>
      </w:r>
      <w:r>
        <w:rPr>
          <w:rFonts w:eastAsia="仿宋_GB2312"/>
          <w:sz w:val="32"/>
          <w:szCs w:val="32"/>
        </w:rPr>
        <w:t>控制事</w:t>
      </w:r>
      <w:r>
        <w:rPr>
          <w:rFonts w:hint="eastAsia" w:eastAsia="仿宋_GB2312"/>
          <w:sz w:val="32"/>
          <w:szCs w:val="32"/>
        </w:rPr>
        <w:t>发</w:t>
      </w:r>
      <w:r>
        <w:rPr>
          <w:rFonts w:eastAsia="仿宋_GB2312"/>
          <w:sz w:val="32"/>
          <w:szCs w:val="32"/>
        </w:rPr>
        <w:t>现场。</w:t>
      </w:r>
      <w:r>
        <w:rPr>
          <w:rFonts w:hint="eastAsia" w:eastAsia="仿宋_GB2312"/>
          <w:sz w:val="32"/>
          <w:szCs w:val="32"/>
        </w:rPr>
        <w:t>发现问题第一时间向属地公安部门和总指挥汇报。</w:t>
      </w:r>
    </w:p>
    <w:p>
      <w:pPr>
        <w:ind w:firstLine="640" w:firstLineChars="200"/>
        <w:rPr>
          <w:rFonts w:eastAsia="仿宋_GB2312"/>
          <w:sz w:val="32"/>
          <w:szCs w:val="32"/>
        </w:rPr>
      </w:pPr>
      <w:r>
        <w:rPr>
          <w:rFonts w:hint="eastAsia" w:eastAsia="仿宋_GB2312"/>
          <w:sz w:val="32"/>
          <w:szCs w:val="32"/>
        </w:rPr>
        <w:t>应急处置小组：在属地公安部门和指挥小组及安保小组的具体指挥下，处置突发事件，维护事发现场秩序，组织应急救援和医疗救护工作，妥善做好相关善后工作，并将相关情况及时报属地公安部门和指挥小组及安保小组。</w:t>
      </w:r>
    </w:p>
    <w:p>
      <w:pPr>
        <w:ind w:firstLine="640" w:firstLineChars="200"/>
        <w:rPr>
          <w:rFonts w:eastAsia="仿宋_GB2312"/>
          <w:sz w:val="32"/>
          <w:szCs w:val="32"/>
        </w:rPr>
      </w:pPr>
      <w:r>
        <w:rPr>
          <w:rFonts w:hint="eastAsia" w:eastAsia="仿宋_GB2312"/>
          <w:sz w:val="32"/>
          <w:szCs w:val="32"/>
        </w:rPr>
        <w:t>后勤保障小组：负责准备安全保障物资。包括铁马、对讲机、警戒线、医护用品、扩音器、应急车辆等。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2.应对极端天气执行组</w:t>
      </w:r>
    </w:p>
    <w:p>
      <w:pPr>
        <w:ind w:firstLine="640" w:firstLineChars="200"/>
        <w:rPr>
          <w:rFonts w:eastAsia="仿宋_GB2312"/>
          <w:sz w:val="32"/>
          <w:szCs w:val="32"/>
        </w:rPr>
      </w:pPr>
      <w:r>
        <w:rPr>
          <w:rFonts w:eastAsia="仿宋_GB2312"/>
          <w:sz w:val="32"/>
          <w:szCs w:val="32"/>
        </w:rPr>
        <w:t>组  长：</w:t>
      </w:r>
    </w:p>
    <w:p>
      <w:pPr>
        <w:ind w:firstLine="640" w:firstLineChars="200"/>
        <w:rPr>
          <w:rFonts w:eastAsia="仿宋_GB2312"/>
          <w:sz w:val="32"/>
          <w:szCs w:val="32"/>
        </w:rPr>
      </w:pPr>
      <w:r>
        <w:rPr>
          <w:rFonts w:eastAsia="仿宋_GB2312"/>
          <w:sz w:val="32"/>
          <w:szCs w:val="32"/>
        </w:rPr>
        <w:t>副组长：</w:t>
      </w:r>
    </w:p>
    <w:p>
      <w:pPr>
        <w:ind w:firstLine="640" w:firstLineChars="200"/>
        <w:rPr>
          <w:rFonts w:eastAsia="仿宋_GB2312"/>
          <w:sz w:val="32"/>
          <w:szCs w:val="32"/>
        </w:rPr>
      </w:pPr>
      <w:r>
        <w:rPr>
          <w:rFonts w:eastAsia="仿宋_GB2312"/>
          <w:sz w:val="32"/>
          <w:szCs w:val="32"/>
        </w:rPr>
        <w:t>小组成员：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XXX</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eastAsia="zh-CN"/>
        </w:rPr>
        <w:t>：</w:t>
      </w:r>
    </w:p>
    <w:p>
      <w:pPr>
        <w:ind w:firstLine="640" w:firstLineChars="200"/>
        <w:rPr>
          <w:rFonts w:eastAsia="仿宋_GB2312"/>
          <w:sz w:val="32"/>
          <w:szCs w:val="32"/>
        </w:rPr>
      </w:pPr>
      <w:r>
        <w:rPr>
          <w:rFonts w:eastAsia="仿宋_GB2312"/>
          <w:sz w:val="32"/>
          <w:szCs w:val="32"/>
        </w:rPr>
        <w:t>执行组下设：</w:t>
      </w:r>
      <w:r>
        <w:rPr>
          <w:rFonts w:hint="eastAsia" w:eastAsia="仿宋_GB2312"/>
          <w:sz w:val="32"/>
          <w:szCs w:val="32"/>
        </w:rPr>
        <w:t>实时监测小组、应急处置小组</w:t>
      </w:r>
    </w:p>
    <w:p>
      <w:pPr>
        <w:ind w:firstLine="640" w:firstLineChars="200"/>
        <w:rPr>
          <w:rFonts w:eastAsia="仿宋_GB2312"/>
          <w:sz w:val="32"/>
          <w:szCs w:val="32"/>
        </w:rPr>
      </w:pPr>
      <w:r>
        <w:rPr>
          <w:rFonts w:hint="eastAsia" w:eastAsia="仿宋_GB2312"/>
          <w:sz w:val="32"/>
          <w:szCs w:val="32"/>
        </w:rPr>
        <w:t>实时监测小组职责：负责活动区域范围的天气预报，全时段会同气象部门监测活动当日的天气情况，包括气温、风向、风速、降雨等情况，适时检查通讯联络渠道，每隔</w:t>
      </w:r>
      <w:r>
        <w:rPr>
          <w:rFonts w:hint="eastAsia" w:ascii="方正仿宋_GBK" w:hAnsi="方正仿宋_GBK" w:eastAsia="方正仿宋_GBK" w:cs="方正仿宋_GBK"/>
          <w:sz w:val="32"/>
          <w:szCs w:val="32"/>
        </w:rPr>
        <w:t>1</w:t>
      </w:r>
      <w:r>
        <w:rPr>
          <w:rFonts w:hint="eastAsia" w:eastAsia="仿宋_GB2312"/>
          <w:sz w:val="32"/>
          <w:szCs w:val="32"/>
        </w:rPr>
        <w:t>小时向指挥组和处置组汇报活动当天的天气变化情况。</w:t>
      </w:r>
    </w:p>
    <w:p>
      <w:pPr>
        <w:ind w:firstLine="640" w:firstLineChars="200"/>
        <w:rPr>
          <w:rFonts w:eastAsia="仿宋_GB2312"/>
          <w:sz w:val="32"/>
          <w:szCs w:val="32"/>
        </w:rPr>
      </w:pPr>
      <w:r>
        <w:rPr>
          <w:rFonts w:hint="eastAsia" w:eastAsia="仿宋_GB2312"/>
          <w:sz w:val="32"/>
          <w:szCs w:val="32"/>
        </w:rPr>
        <w:t>应急处置小组：根据监测小组的监测情况活，对活动现场对可能出现的高温酷暑、暴雨等情况进行预防干预，及时会同救援组织、医疗卫生、公安等部门沟通，妥善做好相关善后工作，并将相关情况及时报属地公安部门和指挥小组及安保小组。</w:t>
      </w:r>
    </w:p>
    <w:p>
      <w:pPr>
        <w:ind w:firstLine="640" w:firstLineChars="200"/>
        <w:rPr>
          <w:rFonts w:eastAsia="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eastAsia="楷体_GB2312"/>
          <w:sz w:val="32"/>
          <w:szCs w:val="32"/>
        </w:rPr>
        <w:t>安全保障方面</w:t>
      </w:r>
    </w:p>
    <w:p>
      <w:pPr>
        <w:ind w:firstLine="640" w:firstLineChars="200"/>
        <w:rPr>
          <w:rFonts w:ascii="仿宋_GB2312" w:hAnsi="仿宋_GB2312" w:eastAsia="仿宋_GB2312"/>
          <w:sz w:val="32"/>
        </w:rPr>
      </w:pPr>
      <w:r>
        <w:rPr>
          <w:rFonts w:hint="eastAsia" w:ascii="仿宋_GB2312" w:hAnsi="仿宋_GB2312" w:eastAsia="仿宋_GB2312"/>
          <w:sz w:val="32"/>
        </w:rPr>
        <w:t>1.演练所有安保人员进入指定安全防范风险点的站位和相应装备的准备及使用方法；</w:t>
      </w:r>
    </w:p>
    <w:p>
      <w:pPr>
        <w:ind w:firstLine="640" w:firstLineChars="200"/>
        <w:rPr>
          <w:rFonts w:ascii="仿宋_GB2312" w:hAnsi="仿宋_GB2312" w:eastAsia="仿宋_GB2312"/>
          <w:sz w:val="32"/>
        </w:rPr>
      </w:pPr>
      <w:r>
        <w:rPr>
          <w:rFonts w:hint="eastAsia" w:ascii="仿宋_GB2312" w:hAnsi="仿宋_GB2312" w:eastAsia="仿宋_GB2312"/>
          <w:sz w:val="32"/>
        </w:rPr>
        <w:t>2.现场人员由于自身或天气等原因导致受伤或疾病发作的应急处理；</w:t>
      </w:r>
    </w:p>
    <w:p>
      <w:pPr>
        <w:ind w:firstLine="640" w:firstLineChars="200"/>
        <w:rPr>
          <w:rFonts w:ascii="仿宋_GB2312" w:hAnsi="仿宋_GB2312" w:eastAsia="仿宋_GB2312"/>
          <w:sz w:val="32"/>
        </w:rPr>
      </w:pPr>
      <w:r>
        <w:rPr>
          <w:rFonts w:hint="eastAsia" w:ascii="仿宋_GB2312" w:hAnsi="仿宋_GB2312" w:eastAsia="仿宋_GB2312"/>
          <w:sz w:val="32"/>
        </w:rPr>
        <w:t>3.活动期间，由于人流量过大，造成局部地区过于拥挤，影响安全的应急处理；</w:t>
      </w:r>
    </w:p>
    <w:p>
      <w:pPr>
        <w:ind w:firstLine="640" w:firstLineChars="200"/>
        <w:rPr>
          <w:rFonts w:ascii="仿宋_GB2312" w:hAnsi="仿宋_GB2312" w:eastAsia="仿宋_GB2312"/>
          <w:sz w:val="32"/>
        </w:rPr>
      </w:pPr>
      <w:r>
        <w:rPr>
          <w:rFonts w:hint="eastAsia" w:ascii="仿宋_GB2312" w:hAnsi="仿宋_GB2312" w:eastAsia="仿宋_GB2312"/>
          <w:sz w:val="32"/>
        </w:rPr>
        <w:t>4.现场突然出现有群众聚集，拉横幅、发传单、打标语及堵路等过激行为的应急处理；</w:t>
      </w:r>
    </w:p>
    <w:p>
      <w:pPr>
        <w:ind w:firstLine="640" w:firstLineChars="200"/>
        <w:rPr>
          <w:rFonts w:ascii="仿宋_GB2312" w:hAnsi="仿宋_GB2312" w:eastAsia="仿宋_GB2312"/>
          <w:sz w:val="32"/>
        </w:rPr>
      </w:pPr>
      <w:r>
        <w:rPr>
          <w:rFonts w:hint="eastAsia" w:ascii="仿宋_GB2312" w:hAnsi="仿宋_GB2312" w:eastAsia="仿宋_GB2312"/>
          <w:sz w:val="32"/>
        </w:rPr>
        <w:t>5.现场突然出现犯罪分子持刀行凶时的应急处理；</w:t>
      </w:r>
    </w:p>
    <w:p>
      <w:pPr>
        <w:ind w:firstLine="640" w:firstLineChars="200"/>
        <w:rPr>
          <w:rFonts w:ascii="仿宋_GB2312" w:hAnsi="仿宋_GB2312" w:eastAsia="仿宋_GB2312"/>
          <w:sz w:val="32"/>
        </w:rPr>
      </w:pPr>
      <w:r>
        <w:rPr>
          <w:rFonts w:hint="eastAsia" w:ascii="仿宋_GB2312" w:hAnsi="仿宋_GB2312" w:eastAsia="仿宋_GB2312"/>
          <w:sz w:val="32"/>
        </w:rPr>
        <w:t>6.现场突发火灾的应急处理。</w:t>
      </w:r>
    </w:p>
    <w:p>
      <w:pPr>
        <w:ind w:firstLine="640" w:firstLineChars="200"/>
        <w:rPr>
          <w:rFonts w:eastAsia="楷体_GB2312"/>
          <w:color w:val="000000" w:themeColor="text1"/>
          <w:sz w:val="32"/>
          <w:szCs w:val="32"/>
          <w14:textFill>
            <w14:solidFill>
              <w14:schemeClr w14:val="tx1"/>
            </w14:solidFill>
          </w14:textFill>
        </w:rPr>
      </w:pPr>
      <w:r>
        <w:rPr>
          <w:rFonts w:hint="eastAsia" w:eastAsia="楷体_GB2312"/>
          <w:sz w:val="32"/>
          <w:szCs w:val="32"/>
        </w:rPr>
        <w:t>（</w:t>
      </w:r>
      <w:r>
        <w:rPr>
          <w:rFonts w:hint="eastAsia" w:eastAsia="楷体_GB2312"/>
          <w:sz w:val="32"/>
          <w:szCs w:val="32"/>
          <w:lang w:eastAsia="zh-CN"/>
        </w:rPr>
        <w:t>四</w:t>
      </w:r>
      <w:r>
        <w:rPr>
          <w:rFonts w:hint="eastAsia" w:eastAsia="楷体_GB2312"/>
          <w:sz w:val="32"/>
          <w:szCs w:val="32"/>
        </w:rPr>
        <w:t>）</w:t>
      </w:r>
      <w:r>
        <w:rPr>
          <w:rFonts w:hint="eastAsia" w:eastAsia="楷体_GB2312"/>
          <w:color w:val="000000" w:themeColor="text1"/>
          <w:sz w:val="32"/>
          <w:szCs w:val="32"/>
          <w14:textFill>
            <w14:solidFill>
              <w14:schemeClr w14:val="tx1"/>
            </w14:solidFill>
          </w14:textFill>
        </w:rPr>
        <w:t>应对极端天气方面</w:t>
      </w:r>
    </w:p>
    <w:p>
      <w:pPr>
        <w:ind w:firstLine="640" w:firstLineChars="200"/>
        <w:rPr>
          <w:rFonts w:ascii="仿宋_GB2312" w:hAnsi="仿宋_GB2312" w:eastAsia="仿宋_GB2312"/>
          <w:sz w:val="32"/>
        </w:rPr>
      </w:pPr>
      <w:r>
        <w:rPr>
          <w:rFonts w:hint="eastAsia" w:ascii="仿宋_GB2312" w:hAnsi="仿宋_GB2312" w:eastAsia="仿宋_GB2312"/>
          <w:sz w:val="32"/>
        </w:rPr>
        <w:t>1.演练具体工作人员会同气象部门及指挥组的沟通联络机制；</w:t>
      </w:r>
    </w:p>
    <w:p>
      <w:pPr>
        <w:ind w:firstLine="640" w:firstLineChars="200"/>
        <w:rPr>
          <w:rFonts w:ascii="仿宋_GB2312" w:hAnsi="仿宋_GB2312" w:eastAsia="仿宋_GB2312"/>
          <w:sz w:val="32"/>
        </w:rPr>
      </w:pPr>
      <w:r>
        <w:rPr>
          <w:rFonts w:hint="eastAsia" w:ascii="仿宋_GB2312" w:hAnsi="仿宋_GB2312" w:eastAsia="仿宋_GB2312"/>
          <w:sz w:val="32"/>
        </w:rPr>
        <w:t>2.演练活动当天的实时天气监测情况；</w:t>
      </w:r>
    </w:p>
    <w:p>
      <w:pPr>
        <w:ind w:firstLine="640" w:firstLineChars="200"/>
        <w:rPr>
          <w:rFonts w:ascii="仿宋_GB2312" w:hAnsi="仿宋_GB2312" w:eastAsia="仿宋_GB2312"/>
          <w:sz w:val="32"/>
        </w:rPr>
      </w:pPr>
      <w:r>
        <w:rPr>
          <w:rFonts w:hint="eastAsia" w:ascii="仿宋_GB2312" w:hAnsi="仿宋_GB2312" w:eastAsia="仿宋_GB2312"/>
          <w:sz w:val="32"/>
        </w:rPr>
        <w:t>3.活动期间出现高温的应急处理；</w:t>
      </w:r>
    </w:p>
    <w:p>
      <w:pPr>
        <w:ind w:firstLine="640" w:firstLineChars="200"/>
        <w:rPr>
          <w:rFonts w:ascii="仿宋_GB2312" w:hAnsi="仿宋_GB2312" w:eastAsia="仿宋_GB2312"/>
          <w:sz w:val="32"/>
        </w:rPr>
      </w:pPr>
      <w:r>
        <w:rPr>
          <w:rFonts w:hint="eastAsia" w:ascii="仿宋_GB2312" w:hAnsi="仿宋_GB2312" w:eastAsia="仿宋_GB2312"/>
          <w:sz w:val="32"/>
        </w:rPr>
        <w:t>4.活动期间出现低温的应急处理；</w:t>
      </w:r>
    </w:p>
    <w:p>
      <w:pPr>
        <w:ind w:firstLine="640" w:firstLineChars="200"/>
        <w:rPr>
          <w:rFonts w:ascii="仿宋_GB2312" w:hAnsi="仿宋_GB2312" w:eastAsia="仿宋_GB2312"/>
          <w:sz w:val="32"/>
        </w:rPr>
      </w:pPr>
      <w:r>
        <w:rPr>
          <w:rFonts w:hint="eastAsia" w:ascii="仿宋_GB2312" w:hAnsi="仿宋_GB2312" w:eastAsia="仿宋_GB2312"/>
          <w:sz w:val="32"/>
        </w:rPr>
        <w:t>5.活动期间出现暴雨的应急处理。</w:t>
      </w:r>
    </w:p>
    <w:p>
      <w:pPr>
        <w:ind w:firstLine="640" w:firstLineChars="200"/>
        <w:rPr>
          <w:rFonts w:ascii="黑体" w:hAnsi="黑体" w:eastAsia="黑体"/>
          <w:sz w:val="32"/>
          <w:szCs w:val="32"/>
        </w:rPr>
      </w:pPr>
      <w:r>
        <w:rPr>
          <w:rFonts w:hint="eastAsia" w:ascii="黑体" w:hAnsi="黑体" w:eastAsia="黑体"/>
          <w:sz w:val="32"/>
          <w:lang w:eastAsia="zh-CN"/>
        </w:rPr>
        <w:t>四</w:t>
      </w:r>
      <w:r>
        <w:rPr>
          <w:rFonts w:hint="eastAsia" w:ascii="黑体" w:hAnsi="黑体" w:eastAsia="黑体"/>
          <w:sz w:val="32"/>
        </w:rPr>
        <w:t>、</w:t>
      </w:r>
      <w:r>
        <w:rPr>
          <w:rFonts w:hint="eastAsia" w:ascii="黑体" w:hAnsi="黑体" w:eastAsia="黑体"/>
          <w:sz w:val="32"/>
          <w:szCs w:val="32"/>
        </w:rPr>
        <w:t>应急演练的流程</w:t>
      </w:r>
    </w:p>
    <w:p>
      <w:pPr>
        <w:ind w:firstLine="640" w:firstLineChars="200"/>
        <w:rPr>
          <w:rFonts w:eastAsia="仿宋_GB2312"/>
          <w:sz w:val="32"/>
          <w:szCs w:val="32"/>
        </w:rPr>
      </w:pPr>
      <w:r>
        <w:rPr>
          <w:rFonts w:hint="eastAsia" w:eastAsia="仿宋_GB2312"/>
          <w:sz w:val="32"/>
          <w:szCs w:val="32"/>
        </w:rPr>
        <w:t>（一）</w:t>
      </w:r>
      <w:r>
        <w:rPr>
          <w:rFonts w:eastAsia="仿宋_GB2312"/>
          <w:sz w:val="32"/>
          <w:szCs w:val="32"/>
        </w:rPr>
        <w:t>演练当天、所有演练人员集中，演练总指挥强调本次演练的背景、意义、主要程序及主要职能部门的职责，演练人员各就各位、各司其职。</w:t>
      </w:r>
    </w:p>
    <w:p>
      <w:pPr>
        <w:ind w:firstLine="640" w:firstLineChars="200"/>
        <w:rPr>
          <w:rFonts w:eastAsia="仿宋_GB2312"/>
          <w:sz w:val="32"/>
          <w:szCs w:val="32"/>
        </w:rPr>
      </w:pPr>
      <w:r>
        <w:rPr>
          <w:rFonts w:hint="eastAsia" w:eastAsia="仿宋_GB2312"/>
          <w:sz w:val="32"/>
          <w:szCs w:val="32"/>
        </w:rPr>
        <w:t>（二）</w:t>
      </w:r>
      <w:r>
        <w:rPr>
          <w:rFonts w:eastAsia="仿宋_GB2312"/>
          <w:sz w:val="32"/>
          <w:szCs w:val="32"/>
        </w:rPr>
        <w:t>总指挥宣布演练开始。</w:t>
      </w:r>
    </w:p>
    <w:p>
      <w:pPr>
        <w:ind w:firstLine="640" w:firstLineChars="200"/>
        <w:rPr>
          <w:rFonts w:eastAsia="仿宋_GB2312"/>
          <w:sz w:val="32"/>
          <w:szCs w:val="32"/>
        </w:rPr>
      </w:pPr>
      <w:r>
        <w:rPr>
          <w:rFonts w:hint="eastAsia" w:eastAsia="仿宋_GB2312"/>
          <w:sz w:val="32"/>
          <w:szCs w:val="32"/>
        </w:rPr>
        <w:t>（三）</w:t>
      </w:r>
      <w:r>
        <w:rPr>
          <w:rFonts w:eastAsia="仿宋_GB2312"/>
          <w:sz w:val="32"/>
          <w:szCs w:val="32"/>
        </w:rPr>
        <w:t>具体环节：</w:t>
      </w:r>
    </w:p>
    <w:p>
      <w:pPr>
        <w:ind w:firstLine="640" w:firstLineChars="200"/>
        <w:rPr>
          <w:rFonts w:eastAsia="仿宋_GB2312"/>
          <w:sz w:val="32"/>
          <w:szCs w:val="32"/>
        </w:rPr>
      </w:pPr>
      <w:r>
        <w:rPr>
          <w:rFonts w:eastAsia="仿宋_GB2312"/>
          <w:sz w:val="32"/>
          <w:szCs w:val="32"/>
        </w:rPr>
        <w:t>本环节</w:t>
      </w:r>
      <w:r>
        <w:rPr>
          <w:rFonts w:hint="eastAsia" w:eastAsia="仿宋_GB2312"/>
          <w:sz w:val="32"/>
          <w:szCs w:val="32"/>
        </w:rPr>
        <w:t>主要分</w:t>
      </w:r>
      <w:r>
        <w:rPr>
          <w:rFonts w:hint="eastAsia" w:eastAsia="仿宋_GB2312"/>
          <w:sz w:val="32"/>
          <w:szCs w:val="32"/>
          <w:lang w:eastAsia="zh-CN"/>
        </w:rPr>
        <w:t>二</w:t>
      </w:r>
      <w:r>
        <w:rPr>
          <w:rFonts w:hint="eastAsia" w:eastAsia="仿宋_GB2312"/>
          <w:sz w:val="32"/>
          <w:szCs w:val="32"/>
        </w:rPr>
        <w:t>个部分，一是活动现场突然出现自身的或者人为的安全事故，针对不同的事故采取及时发现及时制止，控制现场，及时向相关部门汇报、跟踪受害者的情况，检查</w:t>
      </w:r>
      <w:r>
        <w:rPr>
          <w:rFonts w:eastAsia="仿宋_GB2312"/>
          <w:sz w:val="32"/>
          <w:szCs w:val="32"/>
        </w:rPr>
        <w:t>药械物资储备、设备维护、后勤保障等</w:t>
      </w:r>
      <w:r>
        <w:rPr>
          <w:rFonts w:hint="eastAsia" w:eastAsia="仿宋_GB2312"/>
          <w:sz w:val="32"/>
          <w:szCs w:val="32"/>
        </w:rPr>
        <w:t>。二是实时跟进活动当天的天气变化，发现天气异常及时向指挥组汇报。</w:t>
      </w:r>
    </w:p>
    <w:p>
      <w:pPr>
        <w:ind w:firstLine="640" w:firstLineChars="200"/>
        <w:rPr>
          <w:rFonts w:ascii="仿宋_GB2312" w:hAnsi="仿宋_GB2312" w:eastAsia="仿宋_GB2312"/>
          <w:sz w:val="32"/>
        </w:rPr>
      </w:pPr>
      <w:r>
        <w:rPr>
          <w:rFonts w:hint="eastAsia" w:ascii="仿宋_GB2312" w:hAnsi="仿宋_GB2312" w:eastAsia="仿宋_GB2312"/>
          <w:sz w:val="32"/>
        </w:rPr>
        <w:t>模拟场景</w:t>
      </w:r>
      <w:r>
        <w:rPr>
          <w:rFonts w:hint="eastAsia" w:ascii="仿宋_GB2312" w:hAnsi="仿宋_GB2312" w:eastAsia="仿宋_GB2312"/>
          <w:spacing w:val="-6"/>
          <w:sz w:val="32"/>
        </w:rPr>
        <w:t>1——</w:t>
      </w:r>
      <w:r>
        <w:rPr>
          <w:rFonts w:hint="eastAsia" w:ascii="仿宋_GB2312" w:hAnsi="仿宋_GB2312" w:eastAsia="仿宋_GB2312"/>
          <w:sz w:val="32"/>
        </w:rPr>
        <w:t>活动期间，由于人流量过大，造成局部地区过于拥挤，影响安全。</w:t>
      </w:r>
    </w:p>
    <w:p>
      <w:pPr>
        <w:ind w:firstLine="640" w:firstLineChars="200"/>
        <w:rPr>
          <w:rFonts w:eastAsia="仿宋_GB2312"/>
          <w:sz w:val="32"/>
          <w:szCs w:val="32"/>
        </w:rPr>
      </w:pPr>
      <w:r>
        <w:rPr>
          <w:rFonts w:hint="eastAsia" w:ascii="仿宋_GB2312" w:hAnsi="仿宋_GB2312" w:eastAsia="仿宋_GB2312"/>
          <w:sz w:val="32"/>
        </w:rPr>
        <w:t>安保执勤人员一旦发现人群过度密集，立即用对讲机报告现场指挥小组，现场指挥小组调集安保力量进行人群疏导，同时报告各成员单位，开展人员疏导工作。现场保安人员第一时间在通道外设置警戒线和人群隔离带，限制进入拥挤区域的人群，并使用广播宣传，指引人员有序撤离，并维持好现场秩序。一旦出现人员伤亡，立即开展伤员救治工作，并通知医疗卫生部门。</w:t>
      </w:r>
    </w:p>
    <w:p>
      <w:pPr>
        <w:ind w:firstLine="640"/>
        <w:rPr>
          <w:rFonts w:ascii="仿宋_GB2312" w:hAnsi="仿宋_GB2312" w:eastAsia="仿宋_GB2312"/>
          <w:sz w:val="32"/>
        </w:rPr>
      </w:pPr>
      <w:r>
        <w:rPr>
          <w:rFonts w:hint="eastAsia" w:ascii="仿宋_GB2312" w:hAnsi="仿宋_GB2312" w:eastAsia="仿宋_GB2312"/>
          <w:sz w:val="32"/>
        </w:rPr>
        <w:t>模拟场景2——活动期间突然出现有群众聚集，发传单、打标语及堵路等过激行为。</w:t>
      </w:r>
    </w:p>
    <w:p>
      <w:pPr>
        <w:ind w:firstLine="640" w:firstLineChars="200"/>
        <w:rPr>
          <w:rFonts w:ascii="仿宋_GB2312" w:hAnsi="仿宋_GB2312" w:eastAsia="仿宋_GB2312"/>
          <w:sz w:val="32"/>
        </w:rPr>
      </w:pPr>
      <w:r>
        <w:rPr>
          <w:rFonts w:hint="eastAsia" w:ascii="仿宋_GB2312" w:hAnsi="仿宋_GB2312" w:eastAsia="仿宋_GB2312"/>
          <w:sz w:val="32"/>
        </w:rPr>
        <w:t>安保执勤人员一旦发现人群有上述聚集行为，立即用对讲机报告现场指挥小组和应急处置小组，接报后立即协调公安和信访等部门，迅速派出相关人员到达现场进行调查立即带离和控制挑头闹事者，收缴非法宣传品，耐心教育现场人群使用合法途径表达诉求，并引导到信访地方进行调解。</w:t>
      </w:r>
    </w:p>
    <w:p>
      <w:pPr>
        <w:ind w:firstLine="640"/>
        <w:rPr>
          <w:rFonts w:ascii="仿宋_GB2312" w:hAnsi="仿宋_GB2312" w:eastAsia="仿宋_GB2312"/>
          <w:sz w:val="32"/>
        </w:rPr>
      </w:pPr>
      <w:r>
        <w:rPr>
          <w:rFonts w:hint="eastAsia" w:ascii="仿宋_GB2312" w:hAnsi="仿宋_GB2312" w:eastAsia="仿宋_GB2312"/>
          <w:sz w:val="32"/>
        </w:rPr>
        <w:t>模拟场景3——活动期间突然出现犯罪分子持刀行凶。</w:t>
      </w:r>
    </w:p>
    <w:p>
      <w:pPr>
        <w:ind w:firstLine="640" w:firstLineChars="200"/>
        <w:rPr>
          <w:rFonts w:ascii="仿宋_GB2312" w:hAnsi="仿宋_GB2312" w:eastAsia="仿宋_GB2312"/>
          <w:sz w:val="32"/>
        </w:rPr>
      </w:pPr>
      <w:r>
        <w:rPr>
          <w:rFonts w:hint="eastAsia" w:ascii="仿宋_GB2312" w:hAnsi="仿宋_GB2312" w:eastAsia="仿宋_GB2312"/>
          <w:sz w:val="32"/>
        </w:rPr>
        <w:t>安保执勤人员一旦发现有犯罪分子持刀行凶，</w:t>
      </w:r>
      <w:r>
        <w:rPr>
          <w:rFonts w:hAnsi="仿宋_GB2312" w:eastAsia="仿宋_GB2312"/>
          <w:bCs/>
          <w:kern w:val="0"/>
          <w:sz w:val="32"/>
          <w:szCs w:val="32"/>
        </w:rPr>
        <w:t>迅速集结安保力量，阻止犯罪分子行凶</w:t>
      </w:r>
      <w:r>
        <w:rPr>
          <w:rFonts w:hint="eastAsia" w:hAnsi="仿宋_GB2312" w:eastAsia="仿宋_GB2312"/>
          <w:bCs/>
          <w:kern w:val="0"/>
          <w:sz w:val="32"/>
          <w:szCs w:val="32"/>
        </w:rPr>
        <w:t>，并</w:t>
      </w:r>
      <w:r>
        <w:rPr>
          <w:rFonts w:hint="eastAsia" w:ascii="仿宋_GB2312" w:hAnsi="仿宋_GB2312" w:eastAsia="仿宋_GB2312"/>
          <w:sz w:val="32"/>
        </w:rPr>
        <w:t>用对讲机报告现场指挥小组，疏散人群设置警戒线同时联系所属公安部门。并使用广播宣传，指引人员有序撤离，并维持好现场秩序。一旦出现人员伤亡，立即开展伤员救治工作，并通知医疗卫生部门。</w:t>
      </w:r>
    </w:p>
    <w:p>
      <w:pPr>
        <w:ind w:firstLine="640" w:firstLineChars="200"/>
        <w:rPr>
          <w:rFonts w:ascii="仿宋_GB2312" w:hAnsi="仿宋_GB2312" w:eastAsia="仿宋_GB2312"/>
          <w:sz w:val="32"/>
        </w:rPr>
      </w:pPr>
      <w:r>
        <w:rPr>
          <w:rFonts w:hint="eastAsia" w:ascii="仿宋_GB2312" w:hAnsi="仿宋_GB2312" w:eastAsia="仿宋_GB2312"/>
          <w:sz w:val="32"/>
        </w:rPr>
        <w:t>模拟场景4——活动期间发生火灾。</w:t>
      </w:r>
    </w:p>
    <w:p>
      <w:pPr>
        <w:ind w:firstLine="640" w:firstLineChars="200"/>
        <w:rPr>
          <w:rFonts w:ascii="仿宋_GB2312" w:hAnsi="仿宋_GB2312" w:eastAsia="仿宋_GB2312"/>
          <w:sz w:val="32"/>
        </w:rPr>
      </w:pPr>
      <w:r>
        <w:rPr>
          <w:rFonts w:hint="eastAsia" w:ascii="仿宋_GB2312" w:hAnsi="仿宋_GB2312" w:eastAsia="仿宋_GB2312"/>
          <w:sz w:val="32"/>
        </w:rPr>
        <w:t>现场安保执勤人员发现发生火灾事故时，立即用对讲机报告安保小组，安保小组负责人向指挥小组报告，并立即通知处置小组等部门迅速安排出相关人员到达现场进行救援工作，调集安保、消防力量控制现场，疏散群众，维持秩序，抢救伤员和财产。</w:t>
      </w:r>
    </w:p>
    <w:p>
      <w:pPr>
        <w:ind w:firstLine="640" w:firstLineChars="200"/>
        <w:rPr>
          <w:rFonts w:hint="eastAsia" w:ascii="仿宋_GB2312" w:hAnsi="仿宋_GB2312" w:eastAsia="仿宋_GB2312"/>
          <w:sz w:val="32"/>
        </w:rPr>
      </w:pPr>
      <w:r>
        <w:rPr>
          <w:rFonts w:hint="eastAsia" w:ascii="仿宋_GB2312" w:hAnsi="仿宋_GB2312" w:eastAsia="仿宋_GB2312"/>
          <w:sz w:val="32"/>
        </w:rPr>
        <w:t>模拟场景5——活动期间出现极端天气。</w:t>
      </w:r>
    </w:p>
    <w:p>
      <w:pPr>
        <w:ind w:firstLine="640" w:firstLineChars="200"/>
        <w:rPr>
          <w:rFonts w:ascii="仿宋_GB2312" w:hAnsi="仿宋_GB2312" w:eastAsia="仿宋_GB2312"/>
          <w:sz w:val="32"/>
        </w:rPr>
      </w:pPr>
      <w:r>
        <w:rPr>
          <w:rFonts w:hint="eastAsia" w:ascii="仿宋_GB2312" w:hAnsi="仿宋_GB2312" w:eastAsia="仿宋_GB2312"/>
          <w:sz w:val="32"/>
        </w:rPr>
        <w:t>实时监测工作人员每隔1小时会同气象部门</w:t>
      </w:r>
      <w:r>
        <w:rPr>
          <w:rFonts w:hint="eastAsia" w:eastAsia="仿宋_GB2312"/>
          <w:sz w:val="32"/>
          <w:szCs w:val="32"/>
        </w:rPr>
        <w:t>以电话、微信或者其它方式进行沟通实时了解活动当天的天气变化，如发现极端天气的出现及时向指挥小组汇报，等待指挥小组的风险评估结果，停止或者继续比赛，如继续比赛在征得指挥小组的同意后将相关天气信息及应对措施告知参赛人员和工作人员，防止意外事件分发生。</w:t>
      </w:r>
    </w:p>
    <w:p>
      <w:pPr>
        <w:rPr>
          <w:rFonts w:eastAsia="仿宋_GB2312"/>
          <w:sz w:val="32"/>
          <w:szCs w:val="32"/>
        </w:rPr>
      </w:pPr>
      <w:r>
        <w:rPr>
          <w:rFonts w:hint="eastAsia" w:eastAsia="仿宋_GB2312"/>
          <w:sz w:val="32"/>
          <w:szCs w:val="32"/>
        </w:rPr>
        <w:t xml:space="preserve">    </w:t>
      </w:r>
      <w:r>
        <w:rPr>
          <w:rFonts w:eastAsia="仿宋_GB2312"/>
          <w:sz w:val="32"/>
          <w:szCs w:val="32"/>
        </w:rPr>
        <w:t>演练人员集中，由各部门对各自负责的任务进行现场自我总结和评价，演练总指挥对演练工作进行全面总结。</w:t>
      </w:r>
    </w:p>
    <w:p>
      <w:pPr>
        <w:ind w:firstLine="640" w:firstLineChars="200"/>
        <w:rPr>
          <w:rFonts w:eastAsia="仿宋_GB2312"/>
          <w:sz w:val="32"/>
          <w:szCs w:val="32"/>
        </w:rPr>
      </w:pPr>
      <w:r>
        <w:rPr>
          <w:rFonts w:eastAsia="仿宋_GB2312"/>
          <w:sz w:val="32"/>
          <w:szCs w:val="32"/>
        </w:rPr>
        <w:t>演练总指挥宣布演练结束。</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、应急演练所需</w:t>
      </w:r>
      <w:r>
        <w:rPr>
          <w:rFonts w:hint="eastAsia" w:ascii="Times New Roman" w:hAnsi="Times New Roman" w:eastAsia="黑体" w:cs="Times New Roman"/>
          <w:sz w:val="32"/>
          <w:szCs w:val="32"/>
        </w:rPr>
        <w:t>物资准备</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rPr>
        <w:t>警戒线、扩音器、对讲机等相关警用装备</w:t>
      </w:r>
      <w:r>
        <w:rPr>
          <w:rFonts w:hint="eastAsia" w:ascii="仿宋_GB2312" w:hAnsi="仿宋_GB2312" w:eastAsia="仿宋_GB2312"/>
          <w:sz w:val="32"/>
          <w:lang w:eastAsia="zh-CN"/>
        </w:rPr>
        <w:t>。</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、演练注意事项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所有参加演练人员必须统一听从指挥，要充分认识到本次演练的重要性，严肃认真，确保演练真实感。</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结合实际，合理定位。紧密结合应急管理工作实际，明确演练目的，根据资源条件确定演练方式和规模。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着眼实战，讲求实效。重视对演练效果及组织工作的评估，总结经验，及时整改存在的问题。</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精心组织，确保安全。围绕演练目的、演练内容，周密组织演练活动，严格遵守相关安全措施，确保演练参与人员及演练装备设施的安全。</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预案演练完成后应对此次演练内容进行评估。</w:t>
      </w:r>
    </w:p>
    <w:p>
      <w:pP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br w:type="page"/>
      </w:r>
    </w:p>
    <w:p>
      <w:pPr>
        <w:adjustRightInd w:val="0"/>
        <w:snapToGrid w:val="0"/>
        <w:spacing w:afterLines="50"/>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numPr>
          <w:ilvl w:val="-1"/>
          <w:numId w:val="0"/>
        </w:numPr>
        <w:kinsoku/>
        <w:wordWrap/>
        <w:overflowPunct/>
        <w:topLinePunct w:val="0"/>
        <w:autoSpaceDE/>
        <w:autoSpaceDN/>
        <w:bidi w:val="0"/>
        <w:snapToGrid w:val="0"/>
        <w:spacing w:beforeAutospacing="0" w:line="560" w:lineRule="exact"/>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_GBK" w:hAnsi="方正小标宋_GBK" w:eastAsia="方正小标宋_GBK" w:cs="方正小标宋_GBK"/>
          <w:sz w:val="44"/>
          <w:szCs w:val="44"/>
          <w:lang w:eastAsia="zh-CN"/>
        </w:rPr>
        <w:t>XXXXX</w:t>
      </w:r>
      <w:r>
        <w:rPr>
          <w:rFonts w:hint="eastAsia" w:ascii="方正小标宋简体" w:hAnsi="方正小标宋简体" w:eastAsia="方正小标宋简体" w:cs="方正小标宋简体"/>
          <w:bCs/>
          <w:sz w:val="44"/>
          <w:szCs w:val="44"/>
          <w:lang w:val="en-US" w:eastAsia="zh-CN"/>
        </w:rPr>
        <w:t>赛事活动风险评估报告</w:t>
      </w:r>
    </w:p>
    <w:p>
      <w:pPr>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_GBK" w:hAnsi="方正小标宋_GBK" w:eastAsia="方正小标宋_GBK" w:cs="方正小标宋_GBK"/>
          <w:spacing w:val="-6"/>
          <w:sz w:val="44"/>
          <w:szCs w:val="44"/>
          <w:lang w:val="en-US" w:eastAsia="zh-CN"/>
        </w:rPr>
        <w:t>（模板）</w:t>
      </w:r>
    </w:p>
    <w:p>
      <w:pPr>
        <w:keepNext w:val="0"/>
        <w:keepLines w:val="0"/>
        <w:pageBreakBefore w:val="0"/>
        <w:widowControl w:val="0"/>
        <w:numPr>
          <w:ilvl w:val="-1"/>
          <w:numId w:val="0"/>
        </w:numPr>
        <w:kinsoku/>
        <w:wordWrap/>
        <w:overflowPunct/>
        <w:topLinePunct w:val="0"/>
        <w:autoSpaceDE/>
        <w:autoSpaceDN/>
        <w:bidi w:val="0"/>
        <w:adjustRightInd/>
        <w:snapToGrid w:val="0"/>
        <w:spacing w:beforeAutospacing="0" w:line="360" w:lineRule="auto"/>
        <w:ind w:firstLine="640" w:firstLineChars="200"/>
        <w:jc w:val="both"/>
        <w:textAlignment w:val="auto"/>
        <w:outlineLvl w:val="9"/>
        <w:rPr>
          <w:rFonts w:hint="default" w:ascii="仿宋_GB2312" w:hAnsi="仿宋_GB2312" w:eastAsia="仿宋_GB2312" w:cs="仿宋_GB2312"/>
          <w:color w:val="auto"/>
          <w:kern w:val="0"/>
          <w:sz w:val="32"/>
          <w:szCs w:val="32"/>
          <w:shd w:val="clear" w:color="auto"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val="0"/>
        <w:spacing w:beforeAutospacing="0" w:line="360" w:lineRule="auto"/>
        <w:ind w:firstLine="640" w:firstLineChars="200"/>
        <w:jc w:val="both"/>
        <w:textAlignment w:val="auto"/>
        <w:outlineLvl w:val="9"/>
        <w:rPr>
          <w:rFonts w:hint="eastAsia" w:ascii="黑体" w:hAnsi="黑体" w:eastAsia="黑体" w:cs="黑体"/>
          <w:color w:val="auto"/>
          <w:kern w:val="0"/>
          <w:sz w:val="32"/>
          <w:szCs w:val="32"/>
          <w:shd w:val="clear" w:color="auto" w:fill="FFFFFF"/>
          <w:lang w:eastAsia="zh-CN"/>
        </w:rPr>
      </w:pPr>
      <w:r>
        <w:rPr>
          <w:rFonts w:hint="eastAsia" w:ascii="黑体" w:hAnsi="黑体" w:eastAsia="黑体" w:cs="黑体"/>
          <w:color w:val="auto"/>
          <w:kern w:val="0"/>
          <w:sz w:val="32"/>
          <w:szCs w:val="32"/>
          <w:shd w:val="clear" w:color="auto" w:fill="FFFFFF"/>
          <w:lang w:eastAsia="zh-CN"/>
        </w:rPr>
        <w:t>一、总体概况</w:t>
      </w:r>
    </w:p>
    <w:p>
      <w:pPr>
        <w:keepNext w:val="0"/>
        <w:keepLines w:val="0"/>
        <w:pageBreakBefore w:val="0"/>
        <w:widowControl w:val="0"/>
        <w:numPr>
          <w:ilvl w:val="-1"/>
          <w:numId w:val="0"/>
        </w:numPr>
        <w:kinsoku/>
        <w:wordWrap/>
        <w:overflowPunct/>
        <w:topLinePunct w:val="0"/>
        <w:autoSpaceDE/>
        <w:autoSpaceDN/>
        <w:bidi w:val="0"/>
        <w:adjustRightInd/>
        <w:snapToGrid w:val="0"/>
        <w:spacing w:beforeAutospacing="0" w:line="360" w:lineRule="auto"/>
        <w:ind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lang w:eastAsia="zh-CN"/>
        </w:rPr>
        <w:t>主要包括：评估方信息、评估对象及</w:t>
      </w:r>
      <w:r>
        <w:rPr>
          <w:rFonts w:hint="eastAsia" w:ascii="仿宋_GB2312" w:hAnsi="仿宋_GB2312" w:eastAsia="仿宋_GB2312" w:cs="仿宋_GB2312"/>
          <w:color w:val="auto"/>
          <w:kern w:val="0"/>
          <w:sz w:val="32"/>
          <w:szCs w:val="32"/>
          <w:shd w:val="clear" w:color="auto" w:fill="FFFFFF"/>
        </w:rPr>
        <w:t>目的</w:t>
      </w:r>
      <w:r>
        <w:rPr>
          <w:rFonts w:hint="eastAsia" w:ascii="仿宋_GB2312" w:hAnsi="仿宋_GB2312" w:eastAsia="仿宋_GB2312" w:cs="仿宋_GB2312"/>
          <w:color w:val="auto"/>
          <w:kern w:val="0"/>
          <w:sz w:val="32"/>
          <w:szCs w:val="32"/>
          <w:shd w:val="clear" w:color="auto" w:fill="FFFFFF"/>
          <w:lang w:eastAsia="zh-CN"/>
        </w:rPr>
        <w:t>、评估</w:t>
      </w:r>
      <w:r>
        <w:rPr>
          <w:rFonts w:hint="eastAsia" w:ascii="仿宋_GB2312" w:hAnsi="仿宋_GB2312" w:eastAsia="仿宋_GB2312" w:cs="仿宋_GB2312"/>
          <w:color w:val="auto"/>
          <w:kern w:val="0"/>
          <w:sz w:val="32"/>
          <w:szCs w:val="32"/>
          <w:shd w:val="clear" w:color="auto" w:fill="FFFFFF"/>
        </w:rPr>
        <w:t>工作的组织</w:t>
      </w:r>
      <w:r>
        <w:rPr>
          <w:rFonts w:hint="eastAsia" w:ascii="仿宋_GB2312" w:hAnsi="仿宋_GB2312" w:eastAsia="仿宋_GB2312" w:cs="仿宋_GB2312"/>
          <w:color w:val="auto"/>
          <w:kern w:val="0"/>
          <w:sz w:val="32"/>
          <w:szCs w:val="32"/>
          <w:shd w:val="clear" w:color="auto" w:fill="FFFFFF"/>
          <w:lang w:eastAsia="zh-CN"/>
        </w:rPr>
        <w:t>实施</w:t>
      </w:r>
      <w:r>
        <w:rPr>
          <w:rFonts w:hint="eastAsia" w:ascii="仿宋_GB2312" w:hAnsi="仿宋_GB2312" w:eastAsia="仿宋_GB2312" w:cs="仿宋_GB2312"/>
          <w:color w:val="auto"/>
          <w:kern w:val="0"/>
          <w:sz w:val="32"/>
          <w:szCs w:val="32"/>
          <w:shd w:val="clear" w:color="auto" w:fill="FFFFFF"/>
        </w:rPr>
        <w:t>情况等。</w:t>
      </w:r>
    </w:p>
    <w:p>
      <w:pPr>
        <w:keepNext w:val="0"/>
        <w:keepLines w:val="0"/>
        <w:pageBreakBefore w:val="0"/>
        <w:widowControl w:val="0"/>
        <w:numPr>
          <w:ilvl w:val="-1"/>
          <w:numId w:val="0"/>
        </w:numPr>
        <w:kinsoku/>
        <w:wordWrap/>
        <w:overflowPunct/>
        <w:topLinePunct w:val="0"/>
        <w:autoSpaceDE/>
        <w:autoSpaceDN/>
        <w:bidi w:val="0"/>
        <w:adjustRightInd/>
        <w:snapToGrid w:val="0"/>
        <w:spacing w:beforeAutospacing="0" w:line="360" w:lineRule="auto"/>
        <w:ind w:firstLine="640" w:firstLineChars="200"/>
        <w:jc w:val="both"/>
        <w:textAlignment w:val="auto"/>
        <w:outlineLvl w:val="9"/>
        <w:rPr>
          <w:rFonts w:hint="eastAsia" w:ascii="黑体" w:hAnsi="黑体" w:eastAsia="黑体" w:cs="黑体"/>
          <w:color w:val="auto"/>
          <w:kern w:val="0"/>
          <w:sz w:val="32"/>
          <w:szCs w:val="32"/>
          <w:shd w:val="clear" w:color="auto" w:fill="FFFFFF"/>
          <w:lang w:eastAsia="zh-CN"/>
        </w:rPr>
      </w:pPr>
      <w:r>
        <w:rPr>
          <w:rFonts w:hint="eastAsia" w:ascii="黑体" w:hAnsi="黑体" w:eastAsia="黑体" w:cs="黑体"/>
          <w:color w:val="auto"/>
          <w:kern w:val="0"/>
          <w:sz w:val="32"/>
          <w:szCs w:val="32"/>
          <w:shd w:val="clear" w:color="auto" w:fill="FFFFFF"/>
          <w:lang w:val="en-US" w:eastAsia="zh-CN"/>
        </w:rPr>
        <w:t>二、评估</w:t>
      </w:r>
      <w:r>
        <w:rPr>
          <w:rFonts w:hint="eastAsia" w:ascii="黑体" w:hAnsi="黑体" w:eastAsia="黑体" w:cs="黑体"/>
          <w:color w:val="auto"/>
          <w:kern w:val="0"/>
          <w:sz w:val="32"/>
          <w:szCs w:val="32"/>
          <w:shd w:val="clear" w:color="auto" w:fill="FFFFFF"/>
          <w:lang w:eastAsia="zh-CN"/>
        </w:rPr>
        <w:t>结论</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lang w:eastAsia="zh-CN"/>
        </w:rPr>
        <w:t>结合各风险因素内容进行简要论述，认定各风险等级，确定总体评估结果。</w:t>
      </w:r>
    </w:p>
    <w:p>
      <w:pPr>
        <w:keepNext w:val="0"/>
        <w:keepLines w:val="0"/>
        <w:pageBreakBefore w:val="0"/>
        <w:widowControl w:val="0"/>
        <w:numPr>
          <w:ilvl w:val="-1"/>
          <w:numId w:val="0"/>
        </w:numPr>
        <w:kinsoku/>
        <w:wordWrap/>
        <w:overflowPunct/>
        <w:topLinePunct w:val="0"/>
        <w:autoSpaceDE/>
        <w:autoSpaceDN/>
        <w:bidi w:val="0"/>
        <w:adjustRightInd/>
        <w:snapToGrid w:val="0"/>
        <w:spacing w:beforeAutospacing="0" w:line="360" w:lineRule="auto"/>
        <w:ind w:firstLine="640" w:firstLineChars="200"/>
        <w:jc w:val="both"/>
        <w:textAlignment w:val="auto"/>
        <w:outlineLvl w:val="9"/>
        <w:rPr>
          <w:rFonts w:hint="eastAsia"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lang w:val="en-US" w:eastAsia="zh-CN"/>
        </w:rPr>
        <w:t>三、主要风险点分析及防范化解建议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eastAsia="zh-CN"/>
        </w:rPr>
        <w:t>（一）</w:t>
      </w:r>
      <w:r>
        <w:rPr>
          <w:rFonts w:hint="eastAsia" w:ascii="仿宋_GB2312" w:hAnsi="仿宋_GB2312" w:eastAsia="仿宋_GB2312" w:cs="仿宋_GB2312"/>
          <w:color w:val="auto"/>
          <w:kern w:val="0"/>
          <w:sz w:val="32"/>
          <w:szCs w:val="32"/>
          <w:shd w:val="clear" w:color="auto" w:fill="FFFFFF"/>
        </w:rPr>
        <w:t>风险名称：* * * *风险【风险等级】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eastAsia="zh-CN"/>
        </w:rPr>
        <w:t>描述</w:t>
      </w:r>
      <w:r>
        <w:rPr>
          <w:rFonts w:hint="eastAsia" w:ascii="仿宋_GB2312" w:hAnsi="仿宋_GB2312" w:eastAsia="仿宋_GB2312" w:cs="仿宋_GB2312"/>
          <w:color w:val="auto"/>
          <w:kern w:val="0"/>
          <w:sz w:val="32"/>
          <w:szCs w:val="32"/>
          <w:shd w:val="clear" w:color="auto" w:fill="FFFFFF"/>
        </w:rPr>
        <w:t>风险</w:t>
      </w:r>
      <w:r>
        <w:rPr>
          <w:rFonts w:hint="eastAsia" w:ascii="仿宋_GB2312" w:hAnsi="仿宋_GB2312" w:eastAsia="仿宋_GB2312" w:cs="仿宋_GB2312"/>
          <w:color w:val="auto"/>
          <w:kern w:val="0"/>
          <w:sz w:val="32"/>
          <w:szCs w:val="32"/>
          <w:shd w:val="clear" w:color="auto" w:fill="FFFFFF"/>
          <w:lang w:eastAsia="zh-CN"/>
        </w:rPr>
        <w:t>点的具体情况，主要包括风险点名称、</w:t>
      </w:r>
      <w:r>
        <w:rPr>
          <w:rFonts w:hint="eastAsia" w:ascii="仿宋_GB2312" w:hAnsi="仿宋_GB2312" w:eastAsia="仿宋_GB2312" w:cs="仿宋_GB2312"/>
          <w:color w:val="auto"/>
          <w:kern w:val="0"/>
          <w:sz w:val="32"/>
          <w:szCs w:val="32"/>
          <w:shd w:val="clear" w:color="auto" w:fill="FFFFFF"/>
        </w:rPr>
        <w:t>表现形式、发生原因、后果、影响范围、现有控制能力和承受能力</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需特别关注的薄弱环节和问题</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重点防护点（场所、区域、人群、服务内容、</w:t>
      </w:r>
      <w:r>
        <w:rPr>
          <w:rFonts w:hint="eastAsia" w:ascii="仿宋_GB2312" w:hAnsi="仿宋_GB2312" w:eastAsia="仿宋_GB2312" w:cs="仿宋_GB2312"/>
          <w:color w:val="auto"/>
          <w:kern w:val="0"/>
          <w:sz w:val="32"/>
          <w:szCs w:val="32"/>
          <w:shd w:val="clear" w:color="auto" w:fill="FFFFFF"/>
          <w:lang w:eastAsia="zh-CN"/>
        </w:rPr>
        <w:t>涉及体育</w:t>
      </w:r>
      <w:r>
        <w:rPr>
          <w:rFonts w:hint="eastAsia" w:ascii="仿宋_GB2312" w:hAnsi="仿宋_GB2312" w:eastAsia="仿宋_GB2312" w:cs="仿宋_GB2312"/>
          <w:color w:val="auto"/>
          <w:kern w:val="0"/>
          <w:sz w:val="32"/>
          <w:szCs w:val="32"/>
          <w:shd w:val="clear" w:color="auto" w:fill="FFFFFF"/>
        </w:rPr>
        <w:t>赛事活动环节等）</w:t>
      </w:r>
      <w:r>
        <w:rPr>
          <w:rFonts w:hint="eastAsia" w:ascii="仿宋_GB2312" w:hAnsi="仿宋_GB2312" w:eastAsia="仿宋_GB2312" w:cs="仿宋_GB2312"/>
          <w:color w:val="auto"/>
          <w:kern w:val="0"/>
          <w:sz w:val="32"/>
          <w:szCs w:val="32"/>
          <w:shd w:val="clear" w:color="auto" w:fill="FFFFFF"/>
          <w:lang w:eastAsia="zh-CN"/>
        </w:rPr>
        <w:t>等</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eastAsia="zh-CN"/>
        </w:rPr>
        <w:t>（二）防范化解建议</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eastAsia="zh-CN"/>
        </w:rPr>
        <w:t>提出应对风险的防范和化解建议，如：</w:t>
      </w:r>
      <w:r>
        <w:rPr>
          <w:rFonts w:hint="eastAsia" w:ascii="仿宋_GB2312" w:hAnsi="仿宋_GB2312" w:eastAsia="仿宋_GB2312" w:cs="仿宋_GB2312"/>
          <w:color w:val="auto"/>
          <w:kern w:val="0"/>
          <w:sz w:val="32"/>
          <w:szCs w:val="32"/>
          <w:shd w:val="clear" w:color="auto" w:fill="FFFFFF"/>
        </w:rPr>
        <w:t>消除风险的措施</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提高赛前控制力的措施</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特殊控制措施</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重点防护点（场所、区域、人群、服务内容、</w:t>
      </w:r>
      <w:r>
        <w:rPr>
          <w:rFonts w:hint="eastAsia" w:ascii="仿宋_GB2312" w:hAnsi="仿宋_GB2312" w:eastAsia="仿宋_GB2312" w:cs="仿宋_GB2312"/>
          <w:color w:val="auto"/>
          <w:kern w:val="0"/>
          <w:sz w:val="32"/>
          <w:szCs w:val="32"/>
          <w:shd w:val="clear" w:color="auto" w:fill="FFFFFF"/>
          <w:lang w:eastAsia="zh-CN"/>
        </w:rPr>
        <w:t>涉及体育</w:t>
      </w:r>
      <w:r>
        <w:rPr>
          <w:rFonts w:hint="eastAsia" w:ascii="仿宋_GB2312" w:hAnsi="仿宋_GB2312" w:eastAsia="仿宋_GB2312" w:cs="仿宋_GB2312"/>
          <w:color w:val="auto"/>
          <w:kern w:val="0"/>
          <w:sz w:val="32"/>
          <w:szCs w:val="32"/>
          <w:shd w:val="clear" w:color="auto" w:fill="FFFFFF"/>
        </w:rPr>
        <w:t>赛事活动环节等）的具体防护措施，预案、演练和联动机制等应急准备措施，需要相关单位或组织协调解决的问题</w:t>
      </w:r>
      <w:r>
        <w:rPr>
          <w:rFonts w:hint="eastAsia" w:ascii="仿宋_GB2312" w:hAnsi="仿宋_GB2312" w:eastAsia="仿宋_GB2312" w:cs="仿宋_GB2312"/>
          <w:color w:val="auto"/>
          <w:kern w:val="0"/>
          <w:sz w:val="32"/>
          <w:szCs w:val="32"/>
          <w:shd w:val="clear" w:color="auto" w:fill="FFFFFF"/>
          <w:lang w:eastAsia="zh-CN"/>
        </w:rPr>
        <w:t>等</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widowControl w:val="0"/>
        <w:numPr>
          <w:ilvl w:val="-1"/>
          <w:numId w:val="0"/>
        </w:numPr>
        <w:kinsoku/>
        <w:wordWrap/>
        <w:overflowPunct/>
        <w:topLinePunct w:val="0"/>
        <w:autoSpaceDE/>
        <w:autoSpaceDN/>
        <w:bidi w:val="0"/>
        <w:adjustRightInd/>
        <w:snapToGrid w:val="0"/>
        <w:spacing w:beforeAutospacing="0" w:line="360" w:lineRule="auto"/>
        <w:ind w:firstLine="640" w:firstLineChars="200"/>
        <w:jc w:val="both"/>
        <w:textAlignment w:val="auto"/>
        <w:outlineLvl w:val="9"/>
        <w:rPr>
          <w:rFonts w:hint="eastAsia" w:ascii="黑体" w:hAnsi="黑体" w:eastAsia="黑体" w:cs="黑体"/>
          <w:color w:val="auto"/>
          <w:kern w:val="0"/>
          <w:sz w:val="32"/>
          <w:szCs w:val="32"/>
          <w:shd w:val="clear" w:color="auto" w:fill="FFFFFF"/>
          <w:lang w:val="en-US" w:eastAsia="zh-CN"/>
        </w:rPr>
      </w:pPr>
      <w:bookmarkStart w:id="0" w:name="_Toc113352220"/>
      <w:r>
        <w:rPr>
          <w:rFonts w:hint="eastAsia" w:ascii="黑体" w:hAnsi="黑体" w:eastAsia="黑体" w:cs="黑体"/>
          <w:color w:val="auto"/>
          <w:kern w:val="0"/>
          <w:sz w:val="32"/>
          <w:szCs w:val="32"/>
          <w:shd w:val="clear" w:color="auto" w:fill="FFFFFF"/>
          <w:lang w:val="en-US" w:eastAsia="zh-CN"/>
        </w:rPr>
        <w:t>四、</w:t>
      </w:r>
      <w:bookmarkEnd w:id="0"/>
      <w:r>
        <w:rPr>
          <w:rFonts w:hint="eastAsia" w:ascii="黑体" w:hAnsi="黑体" w:eastAsia="黑体" w:cs="黑体"/>
          <w:color w:val="auto"/>
          <w:kern w:val="0"/>
          <w:sz w:val="32"/>
          <w:szCs w:val="32"/>
          <w:shd w:val="clear" w:color="auto" w:fill="FFFFFF"/>
          <w:lang w:val="en-US" w:eastAsia="zh-CN"/>
        </w:rPr>
        <w:t>评估意见</w:t>
      </w:r>
    </w:p>
    <w:p>
      <w:pPr>
        <w:keepNext w:val="0"/>
        <w:keepLines w:val="0"/>
        <w:pageBreakBefore w:val="0"/>
        <w:widowControl w:val="0"/>
        <w:kinsoku/>
        <w:wordWrap/>
        <w:overflowPunct/>
        <w:topLinePunct w:val="0"/>
        <w:autoSpaceDE/>
        <w:autoSpaceDN/>
        <w:bidi w:val="0"/>
        <w:adjustRightInd/>
        <w:snapToGrid w:val="0"/>
        <w:spacing w:beforeAutospacing="0" w:line="360" w:lineRule="auto"/>
        <w:ind w:firstLine="616" w:firstLineChars="200"/>
        <w:jc w:val="both"/>
        <w:textAlignment w:val="auto"/>
        <w:rPr>
          <w:rFonts w:hint="eastAsia" w:ascii="仿宋_GB2312" w:hAnsi="仿宋_GB2312" w:eastAsia="仿宋_GB2312" w:cs="仿宋_GB2312"/>
          <w:color w:val="auto"/>
          <w:spacing w:val="-6"/>
          <w:kern w:val="0"/>
          <w:sz w:val="32"/>
          <w:szCs w:val="32"/>
          <w:shd w:val="clear" w:color="auto" w:fill="FFFFFF"/>
        </w:rPr>
      </w:pPr>
      <w:r>
        <w:rPr>
          <w:rFonts w:hint="eastAsia" w:ascii="仿宋_GB2312" w:hAnsi="仿宋_GB2312" w:eastAsia="仿宋_GB2312" w:cs="仿宋_GB2312"/>
          <w:color w:val="auto"/>
          <w:spacing w:val="-6"/>
          <w:kern w:val="0"/>
          <w:sz w:val="32"/>
          <w:szCs w:val="32"/>
          <w:shd w:val="clear" w:color="auto" w:fill="FFFFFF"/>
        </w:rPr>
        <w:t>综合各风险</w:t>
      </w:r>
      <w:r>
        <w:rPr>
          <w:rFonts w:hint="eastAsia" w:ascii="仿宋_GB2312" w:hAnsi="仿宋_GB2312" w:eastAsia="仿宋_GB2312" w:cs="仿宋_GB2312"/>
          <w:color w:val="auto"/>
          <w:spacing w:val="-6"/>
          <w:kern w:val="0"/>
          <w:sz w:val="32"/>
          <w:szCs w:val="32"/>
          <w:shd w:val="clear" w:color="auto" w:fill="FFFFFF"/>
          <w:lang w:eastAsia="zh-CN"/>
        </w:rPr>
        <w:t>因素</w:t>
      </w:r>
      <w:r>
        <w:rPr>
          <w:rFonts w:hint="eastAsia" w:ascii="仿宋_GB2312" w:hAnsi="仿宋_GB2312" w:eastAsia="仿宋_GB2312" w:cs="仿宋_GB2312"/>
          <w:color w:val="auto"/>
          <w:spacing w:val="-6"/>
          <w:kern w:val="0"/>
          <w:sz w:val="32"/>
          <w:szCs w:val="32"/>
          <w:shd w:val="clear" w:color="auto" w:fill="FFFFFF"/>
        </w:rPr>
        <w:t>情况，提出可操作</w:t>
      </w:r>
      <w:r>
        <w:rPr>
          <w:rFonts w:hint="eastAsia" w:ascii="仿宋_GB2312" w:hAnsi="仿宋_GB2312" w:eastAsia="仿宋_GB2312" w:cs="仿宋_GB2312"/>
          <w:color w:val="auto"/>
          <w:spacing w:val="-6"/>
          <w:kern w:val="0"/>
          <w:sz w:val="32"/>
          <w:szCs w:val="32"/>
          <w:shd w:val="clear" w:color="auto" w:fill="FFFFFF"/>
          <w:lang w:eastAsia="zh-CN"/>
        </w:rPr>
        <w:t>性强</w:t>
      </w:r>
      <w:r>
        <w:rPr>
          <w:rFonts w:hint="eastAsia" w:ascii="仿宋_GB2312" w:hAnsi="仿宋_GB2312" w:eastAsia="仿宋_GB2312" w:cs="仿宋_GB2312"/>
          <w:color w:val="auto"/>
          <w:spacing w:val="-6"/>
          <w:kern w:val="0"/>
          <w:sz w:val="32"/>
          <w:szCs w:val="32"/>
          <w:shd w:val="clear" w:color="auto" w:fill="FFFFFF"/>
        </w:rPr>
        <w:t>的</w:t>
      </w:r>
      <w:r>
        <w:rPr>
          <w:rFonts w:hint="eastAsia" w:ascii="仿宋_GB2312" w:hAnsi="仿宋_GB2312" w:eastAsia="仿宋_GB2312" w:cs="仿宋_GB2312"/>
          <w:color w:val="auto"/>
          <w:spacing w:val="-6"/>
          <w:kern w:val="0"/>
          <w:sz w:val="32"/>
          <w:szCs w:val="32"/>
          <w:shd w:val="clear" w:color="auto" w:fill="FFFFFF"/>
          <w:lang w:eastAsia="zh-CN"/>
        </w:rPr>
        <w:t>总体评估意见</w:t>
      </w:r>
      <w:r>
        <w:rPr>
          <w:rFonts w:hint="eastAsia" w:ascii="仿宋_GB2312" w:hAnsi="仿宋_GB2312" w:eastAsia="仿宋_GB2312" w:cs="仿宋_GB2312"/>
          <w:color w:val="auto"/>
          <w:spacing w:val="-6"/>
          <w:kern w:val="0"/>
          <w:sz w:val="32"/>
          <w:szCs w:val="32"/>
          <w:shd w:val="clear" w:color="auto" w:fill="FFFFFF"/>
        </w:rPr>
        <w:t>。</w:t>
      </w:r>
    </w:p>
    <w:p>
      <w:pPr>
        <w:keepNext w:val="0"/>
        <w:keepLines w:val="0"/>
        <w:pageBreakBefore w:val="0"/>
        <w:widowControl w:val="0"/>
        <w:numPr>
          <w:ilvl w:val="-1"/>
          <w:numId w:val="0"/>
        </w:numPr>
        <w:kinsoku/>
        <w:wordWrap/>
        <w:overflowPunct/>
        <w:topLinePunct w:val="0"/>
        <w:autoSpaceDE/>
        <w:autoSpaceDN/>
        <w:bidi w:val="0"/>
        <w:adjustRightInd/>
        <w:snapToGrid w:val="0"/>
        <w:spacing w:beforeAutospacing="0" w:line="360" w:lineRule="auto"/>
        <w:ind w:firstLine="640" w:firstLineChars="200"/>
        <w:jc w:val="both"/>
        <w:textAlignment w:val="auto"/>
        <w:outlineLvl w:val="9"/>
        <w:rPr>
          <w:rFonts w:hint="eastAsia"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lang w:val="en-US" w:eastAsia="zh-CN"/>
        </w:rPr>
        <w:t>五、附表</w:t>
      </w:r>
    </w:p>
    <w:p>
      <w:pPr>
        <w:keepNext w:val="0"/>
        <w:keepLines w:val="0"/>
        <w:pageBreakBefore w:val="0"/>
        <w:widowControl w:val="0"/>
        <w:kinsoku/>
        <w:wordWrap/>
        <w:overflowPunct/>
        <w:topLinePunct w:val="0"/>
        <w:autoSpaceDE/>
        <w:autoSpaceDN/>
        <w:bidi w:val="0"/>
        <w:adjustRightInd/>
        <w:snapToGrid w:val="0"/>
        <w:spacing w:beforeAutospacing="0" w:line="360" w:lineRule="auto"/>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《体育赛事活动风险等级评估表》</w:t>
      </w:r>
    </w:p>
    <w:p>
      <w:r>
        <w:rPr>
          <w:rFonts w:hint="eastAsia" w:ascii="方正小标宋_GBK" w:hAnsi="方正小标宋_GBK" w:eastAsia="方正小标宋_GBK" w:cs="方正小标宋_GBK"/>
          <w:sz w:val="44"/>
          <w:szCs w:val="44"/>
        </w:rPr>
        <w:br w:type="page"/>
      </w:r>
    </w:p>
    <w:p>
      <w:pPr>
        <w:keepNext w:val="0"/>
        <w:keepLines w:val="0"/>
        <w:pageBreakBefore w:val="0"/>
        <w:widowControl w:val="0"/>
        <w:tabs>
          <w:tab w:val="left" w:pos="6090"/>
        </w:tabs>
        <w:kinsoku/>
        <w:wordWrap/>
        <w:overflowPunct/>
        <w:topLinePunct w:val="0"/>
        <w:autoSpaceDE/>
        <w:autoSpaceDN/>
        <w:bidi w:val="0"/>
        <w:adjustRightInd/>
        <w:snapToGrid/>
        <w:spacing w:beforeAutospacing="0" w:after="348" w:afterLines="80" w:line="560" w:lineRule="exact"/>
        <w:jc w:val="center"/>
        <w:textAlignment w:val="auto"/>
        <w:rPr>
          <w:rFonts w:ascii="微软雅黑 Light" w:hAnsi="微软雅黑 Light" w:eastAsia="微软雅黑 Light" w:cs="微软雅黑 Light"/>
          <w:sz w:val="44"/>
          <w:szCs w:val="44"/>
        </w:rPr>
      </w:pPr>
      <w:r>
        <w:rPr>
          <w:rFonts w:hint="eastAsia" w:ascii="方正小标宋简体" w:hAnsi="方正小标宋简体" w:eastAsia="方正小标宋简体" w:cs="方正小标宋简体"/>
          <w:sz w:val="44"/>
          <w:szCs w:val="44"/>
        </w:rPr>
        <w:t>体育赛事活动风险等级评估表</w:t>
      </w:r>
    </w:p>
    <w:p>
      <w:pPr>
        <w:pageBreakBefore w:val="0"/>
        <w:tabs>
          <w:tab w:val="left" w:pos="6090"/>
        </w:tabs>
        <w:kinsoku/>
        <w:wordWrap/>
        <w:overflowPunct/>
        <w:topLinePunct w:val="0"/>
        <w:autoSpaceDE/>
        <w:autoSpaceDN/>
        <w:bidi w:val="0"/>
        <w:spacing w:beforeAutospacing="0" w:after="348" w:afterLines="80" w:line="560" w:lineRule="exact"/>
        <w:jc w:val="both"/>
        <w:textAlignment w:val="auto"/>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lang w:eastAsia="zh-CN"/>
        </w:rPr>
        <w:t>评估方单位</w:t>
      </w:r>
      <w:r>
        <w:rPr>
          <w:rFonts w:hint="eastAsia" w:ascii="微软雅黑 Light" w:hAnsi="微软雅黑 Light" w:eastAsia="微软雅黑 Light" w:cs="微软雅黑 Light"/>
          <w:sz w:val="28"/>
          <w:szCs w:val="28"/>
        </w:rPr>
        <w:t xml:space="preserve">（盖章）：       </w:t>
      </w:r>
      <w:r>
        <w:rPr>
          <w:rFonts w:ascii="微软雅黑 Light" w:hAnsi="微软雅黑 Light" w:eastAsia="微软雅黑 Light" w:cs="微软雅黑 Light"/>
          <w:sz w:val="28"/>
          <w:szCs w:val="28"/>
        </w:rPr>
        <w:t xml:space="preserve">  </w:t>
      </w:r>
      <w:r>
        <w:rPr>
          <w:rFonts w:hint="eastAsia" w:ascii="微软雅黑 Light" w:hAnsi="微软雅黑 Light" w:eastAsia="微软雅黑 Light" w:cs="微软雅黑 Light"/>
          <w:sz w:val="28"/>
          <w:szCs w:val="28"/>
        </w:rPr>
        <w:t xml:space="preserve">        </w:t>
      </w:r>
    </w:p>
    <w:tbl>
      <w:tblPr>
        <w:tblStyle w:val="9"/>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658"/>
        <w:gridCol w:w="750"/>
        <w:gridCol w:w="308"/>
        <w:gridCol w:w="1072"/>
        <w:gridCol w:w="1464"/>
        <w:gridCol w:w="1320"/>
        <w:gridCol w:w="61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1992" w:type="dxa"/>
            <w:vAlign w:val="center"/>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r>
              <w:rPr>
                <w:rFonts w:hint="eastAsia" w:ascii="微软雅黑 Light" w:hAnsi="微软雅黑 Light" w:eastAsia="微软雅黑 Light" w:cs="微软雅黑 Light"/>
                <w:b w:val="0"/>
                <w:bCs w:val="0"/>
                <w:kern w:val="0"/>
                <w:sz w:val="28"/>
                <w:szCs w:val="28"/>
              </w:rPr>
              <w:t>项目名称</w:t>
            </w:r>
          </w:p>
        </w:tc>
        <w:tc>
          <w:tcPr>
            <w:tcW w:w="7856" w:type="dxa"/>
            <w:gridSpan w:val="8"/>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r>
              <w:rPr>
                <w:rFonts w:hint="eastAsia" w:ascii="微软雅黑 Light" w:hAnsi="微软雅黑 Light" w:eastAsia="微软雅黑 Light" w:cs="微软雅黑 Light"/>
                <w:b w:val="0"/>
                <w:bCs w:val="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1992" w:type="dxa"/>
            <w:vAlign w:val="center"/>
          </w:tcPr>
          <w:p>
            <w:pPr>
              <w:pageBreakBefore w:val="0"/>
              <w:kinsoku/>
              <w:wordWrap/>
              <w:overflowPunct/>
              <w:topLinePunct w:val="0"/>
              <w:autoSpaceDE/>
              <w:autoSpaceDN/>
              <w:bidi w:val="0"/>
              <w:adjustRightInd w:val="0"/>
              <w:snapToGrid w:val="0"/>
              <w:spacing w:beforeAutospacing="0" w:line="560" w:lineRule="exact"/>
              <w:jc w:val="center"/>
              <w:textAlignment w:val="auto"/>
              <w:rPr>
                <w:rFonts w:hint="eastAsia" w:ascii="微软雅黑 Light" w:hAnsi="微软雅黑 Light" w:eastAsia="微软雅黑 Light" w:cs="微软雅黑 Light"/>
                <w:b w:val="0"/>
                <w:bCs w:val="0"/>
                <w:kern w:val="0"/>
                <w:sz w:val="28"/>
                <w:szCs w:val="28"/>
                <w:lang w:eastAsia="zh-CN"/>
              </w:rPr>
            </w:pPr>
            <w:r>
              <w:rPr>
                <w:rFonts w:hint="eastAsia" w:ascii="微软雅黑 Light" w:hAnsi="微软雅黑 Light" w:eastAsia="微软雅黑 Light" w:cs="微软雅黑 Light"/>
                <w:b w:val="0"/>
                <w:bCs w:val="0"/>
                <w:kern w:val="0"/>
                <w:sz w:val="28"/>
                <w:szCs w:val="28"/>
                <w:lang w:eastAsia="zh-CN"/>
              </w:rPr>
              <w:t>评估时间</w:t>
            </w:r>
          </w:p>
        </w:tc>
        <w:tc>
          <w:tcPr>
            <w:tcW w:w="2788" w:type="dxa"/>
            <w:gridSpan w:val="4"/>
            <w:vAlign w:val="center"/>
          </w:tcPr>
          <w:p>
            <w:pPr>
              <w:pageBreakBefore w:val="0"/>
              <w:kinsoku/>
              <w:wordWrap/>
              <w:overflowPunct/>
              <w:topLinePunct w:val="0"/>
              <w:autoSpaceDE/>
              <w:autoSpaceDN/>
              <w:bidi w:val="0"/>
              <w:adjustRightInd w:val="0"/>
              <w:snapToGrid w:val="0"/>
              <w:spacing w:beforeAutospacing="0" w:line="560" w:lineRule="exact"/>
              <w:jc w:val="center"/>
              <w:textAlignment w:val="auto"/>
              <w:rPr>
                <w:rFonts w:hint="default" w:ascii="微软雅黑 Light" w:hAnsi="微软雅黑 Light" w:eastAsia="微软雅黑 Light" w:cs="微软雅黑 Light"/>
                <w:b w:val="0"/>
                <w:bCs w:val="0"/>
                <w:kern w:val="0"/>
                <w:sz w:val="28"/>
                <w:szCs w:val="28"/>
                <w:lang w:val="en-US" w:eastAsia="zh-CN"/>
              </w:rPr>
            </w:pPr>
            <w:r>
              <w:rPr>
                <w:rFonts w:hint="eastAsia" w:ascii="微软雅黑 Light" w:hAnsi="微软雅黑 Light" w:eastAsia="微软雅黑 Light" w:cs="微软雅黑 Light"/>
                <w:b w:val="0"/>
                <w:bCs w:val="0"/>
                <w:kern w:val="0"/>
                <w:sz w:val="28"/>
                <w:szCs w:val="28"/>
                <w:lang w:val="en-US" w:eastAsia="zh-CN"/>
              </w:rPr>
              <w:t xml:space="preserve">    </w:t>
            </w:r>
            <w:r>
              <w:rPr>
                <w:rFonts w:hint="eastAsia" w:ascii="微软雅黑 Light" w:hAnsi="微软雅黑 Light" w:eastAsia="微软雅黑 Light" w:cs="微软雅黑 Light"/>
                <w:b w:val="0"/>
                <w:bCs w:val="0"/>
                <w:kern w:val="0"/>
                <w:sz w:val="28"/>
                <w:szCs w:val="28"/>
                <w:lang w:eastAsia="zh-CN"/>
              </w:rPr>
              <w:t>年</w:t>
            </w:r>
            <w:r>
              <w:rPr>
                <w:rFonts w:hint="eastAsia" w:ascii="微软雅黑 Light" w:hAnsi="微软雅黑 Light" w:eastAsia="微软雅黑 Light" w:cs="微软雅黑 Light"/>
                <w:b w:val="0"/>
                <w:bCs w:val="0"/>
                <w:kern w:val="0"/>
                <w:sz w:val="28"/>
                <w:szCs w:val="28"/>
                <w:lang w:val="en-US" w:eastAsia="zh-CN"/>
              </w:rPr>
              <w:t xml:space="preserve">  月   日</w:t>
            </w:r>
          </w:p>
        </w:tc>
        <w:tc>
          <w:tcPr>
            <w:tcW w:w="1464" w:type="dxa"/>
            <w:vAlign w:val="center"/>
          </w:tcPr>
          <w:p>
            <w:pPr>
              <w:pageBreakBefore w:val="0"/>
              <w:kinsoku/>
              <w:wordWrap/>
              <w:overflowPunct/>
              <w:topLinePunct w:val="0"/>
              <w:autoSpaceDE/>
              <w:autoSpaceDN/>
              <w:bidi w:val="0"/>
              <w:adjustRightInd w:val="0"/>
              <w:snapToGrid w:val="0"/>
              <w:spacing w:beforeAutospacing="0" w:line="560" w:lineRule="exact"/>
              <w:jc w:val="center"/>
              <w:textAlignment w:val="auto"/>
              <w:rPr>
                <w:rFonts w:hint="eastAsia" w:ascii="微软雅黑 Light" w:hAnsi="微软雅黑 Light" w:eastAsia="微软雅黑 Light" w:cs="微软雅黑 Light"/>
                <w:b w:val="0"/>
                <w:bCs w:val="0"/>
                <w:kern w:val="0"/>
                <w:sz w:val="28"/>
                <w:szCs w:val="28"/>
                <w:lang w:eastAsia="zh-CN"/>
              </w:rPr>
            </w:pPr>
            <w:r>
              <w:rPr>
                <w:rFonts w:hint="eastAsia" w:ascii="微软雅黑 Light" w:hAnsi="微软雅黑 Light" w:eastAsia="微软雅黑 Light" w:cs="微软雅黑 Light"/>
                <w:b w:val="0"/>
                <w:bCs w:val="0"/>
                <w:kern w:val="0"/>
                <w:sz w:val="28"/>
                <w:szCs w:val="28"/>
                <w:lang w:eastAsia="zh-CN"/>
              </w:rPr>
              <w:t>评估方式</w:t>
            </w:r>
          </w:p>
        </w:tc>
        <w:tc>
          <w:tcPr>
            <w:tcW w:w="3604" w:type="dxa"/>
            <w:gridSpan w:val="3"/>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hint="default" w:ascii="微软雅黑 Light" w:hAnsi="微软雅黑 Light" w:eastAsia="微软雅黑 Light" w:cs="微软雅黑 Light"/>
                <w:b w:val="0"/>
                <w:bCs w:val="0"/>
                <w:kern w:val="0"/>
                <w:sz w:val="28"/>
                <w:szCs w:val="28"/>
                <w:lang w:val="en-US" w:eastAsia="zh-CN"/>
              </w:rPr>
            </w:pPr>
            <w:r>
              <w:rPr>
                <w:rFonts w:hint="eastAsia" w:ascii="微软雅黑 Light" w:hAnsi="微软雅黑 Light" w:eastAsia="微软雅黑 Light" w:cs="微软雅黑 Light"/>
                <w:b w:val="0"/>
                <w:bCs w:val="0"/>
                <w:kern w:val="0"/>
                <w:sz w:val="28"/>
                <w:szCs w:val="28"/>
                <w:lang w:val="en-US" w:eastAsia="zh-CN"/>
              </w:rPr>
              <w:sym w:font="Wingdings" w:char="00A8"/>
            </w:r>
            <w:r>
              <w:rPr>
                <w:rFonts w:hint="eastAsia" w:ascii="微软雅黑 Light" w:hAnsi="微软雅黑 Light" w:eastAsia="微软雅黑 Light" w:cs="微软雅黑 Light"/>
                <w:b w:val="0"/>
                <w:bCs w:val="0"/>
                <w:kern w:val="0"/>
                <w:sz w:val="28"/>
                <w:szCs w:val="28"/>
                <w:lang w:val="en-US" w:eastAsia="zh-CN"/>
              </w:rPr>
              <w:t xml:space="preserve">自主评估   </w:t>
            </w:r>
            <w:r>
              <w:rPr>
                <w:rFonts w:hint="eastAsia" w:ascii="微软雅黑 Light" w:hAnsi="微软雅黑 Light" w:eastAsia="微软雅黑 Light" w:cs="微软雅黑 Light"/>
                <w:b w:val="0"/>
                <w:bCs w:val="0"/>
                <w:kern w:val="0"/>
                <w:sz w:val="28"/>
                <w:szCs w:val="28"/>
                <w:lang w:val="en-US" w:eastAsia="zh-CN"/>
              </w:rPr>
              <w:sym w:font="Wingdings" w:char="00A8"/>
            </w:r>
            <w:r>
              <w:rPr>
                <w:rFonts w:hint="eastAsia" w:ascii="微软雅黑 Light" w:hAnsi="微软雅黑 Light" w:eastAsia="微软雅黑 Light" w:cs="微软雅黑 Light"/>
                <w:b w:val="0"/>
                <w:bCs w:val="0"/>
                <w:kern w:val="0"/>
                <w:sz w:val="28"/>
                <w:szCs w:val="28"/>
                <w:lang w:val="en-US" w:eastAsia="zh-CN"/>
              </w:rPr>
              <w:t>委托评估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1992" w:type="dxa"/>
            <w:vMerge w:val="restart"/>
            <w:vAlign w:val="center"/>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r>
              <w:rPr>
                <w:rFonts w:hint="eastAsia" w:ascii="微软雅黑 Light" w:hAnsi="微软雅黑 Light" w:eastAsia="微软雅黑 Light" w:cs="微软雅黑 Light"/>
                <w:b w:val="0"/>
                <w:bCs w:val="0"/>
                <w:kern w:val="0"/>
                <w:sz w:val="28"/>
                <w:szCs w:val="28"/>
              </w:rPr>
              <w:t>评估</w:t>
            </w:r>
            <w:r>
              <w:rPr>
                <w:rFonts w:hint="eastAsia" w:ascii="微软雅黑 Light" w:hAnsi="微软雅黑 Light" w:eastAsia="微软雅黑 Light" w:cs="微软雅黑 Light"/>
                <w:b w:val="0"/>
                <w:bCs w:val="0"/>
                <w:kern w:val="0"/>
                <w:sz w:val="28"/>
                <w:szCs w:val="28"/>
                <w:lang w:eastAsia="zh-CN"/>
              </w:rPr>
              <w:t>方信息</w:t>
            </w:r>
          </w:p>
        </w:tc>
        <w:tc>
          <w:tcPr>
            <w:tcW w:w="7856" w:type="dxa"/>
            <w:gridSpan w:val="8"/>
          </w:tcPr>
          <w:p>
            <w:pPr>
              <w:pageBreakBefore w:val="0"/>
              <w:kinsoku/>
              <w:wordWrap/>
              <w:overflowPunct/>
              <w:topLinePunct w:val="0"/>
              <w:autoSpaceDE/>
              <w:autoSpaceDN/>
              <w:bidi w:val="0"/>
              <w:adjustRightInd w:val="0"/>
              <w:snapToGrid w:val="0"/>
              <w:spacing w:beforeAutospacing="0" w:line="560" w:lineRule="exact"/>
              <w:jc w:val="center"/>
              <w:textAlignment w:val="auto"/>
              <w:rPr>
                <w:rFonts w:hint="eastAsia" w:ascii="微软雅黑 Light" w:hAnsi="微软雅黑 Light" w:eastAsia="微软雅黑 Light" w:cs="微软雅黑 Light"/>
                <w:b w:val="0"/>
                <w:bCs w:val="0"/>
                <w:kern w:val="0"/>
                <w:sz w:val="28"/>
                <w:szCs w:val="28"/>
              </w:rPr>
            </w:pPr>
            <w:r>
              <w:rPr>
                <w:rFonts w:hint="eastAsia" w:ascii="微软雅黑 Light" w:hAnsi="微软雅黑 Light" w:eastAsia="微软雅黑 Light" w:cs="微软雅黑 Light"/>
                <w:b w:val="0"/>
                <w:bCs w:val="0"/>
                <w:kern w:val="0"/>
                <w:sz w:val="28"/>
                <w:szCs w:val="28"/>
                <w:lang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1408" w:type="dxa"/>
            <w:gridSpan w:val="2"/>
            <w:vAlign w:val="top"/>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lang w:val="en-US" w:eastAsia="zh-CN" w:bidi="ar-SA"/>
              </w:rPr>
            </w:pPr>
            <w:r>
              <w:rPr>
                <w:rFonts w:hint="eastAsia" w:ascii="微软雅黑 Light" w:hAnsi="微软雅黑 Light" w:eastAsia="微软雅黑 Light" w:cs="微软雅黑 Light"/>
                <w:b w:val="0"/>
                <w:bCs w:val="0"/>
                <w:kern w:val="0"/>
                <w:sz w:val="28"/>
                <w:szCs w:val="28"/>
              </w:rPr>
              <w:t>姓名</w:t>
            </w:r>
          </w:p>
        </w:tc>
        <w:tc>
          <w:tcPr>
            <w:tcW w:w="2844" w:type="dxa"/>
            <w:gridSpan w:val="3"/>
            <w:vAlign w:val="top"/>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lang w:val="en-US" w:eastAsia="zh-CN" w:bidi="ar-SA"/>
              </w:rPr>
            </w:pPr>
            <w:r>
              <w:rPr>
                <w:rFonts w:hint="eastAsia" w:ascii="微软雅黑 Light" w:hAnsi="微软雅黑 Light" w:eastAsia="微软雅黑 Light" w:cs="微软雅黑 Light"/>
                <w:b w:val="0"/>
                <w:bCs w:val="0"/>
                <w:kern w:val="0"/>
                <w:sz w:val="28"/>
                <w:szCs w:val="28"/>
              </w:rPr>
              <w:t>单位</w:t>
            </w:r>
          </w:p>
        </w:tc>
        <w:tc>
          <w:tcPr>
            <w:tcW w:w="1320" w:type="dxa"/>
            <w:vAlign w:val="top"/>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lang w:val="en-US" w:eastAsia="zh-CN" w:bidi="ar-SA"/>
              </w:rPr>
            </w:pPr>
            <w:r>
              <w:rPr>
                <w:rFonts w:hint="eastAsia" w:ascii="微软雅黑 Light" w:hAnsi="微软雅黑 Light" w:eastAsia="微软雅黑 Light" w:cs="微软雅黑 Light"/>
                <w:b w:val="0"/>
                <w:bCs w:val="0"/>
                <w:kern w:val="0"/>
                <w:sz w:val="28"/>
                <w:szCs w:val="28"/>
              </w:rPr>
              <w:t>职务</w:t>
            </w:r>
          </w:p>
        </w:tc>
        <w:tc>
          <w:tcPr>
            <w:tcW w:w="2284" w:type="dxa"/>
            <w:gridSpan w:val="2"/>
            <w:vAlign w:val="top"/>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lang w:val="en-US" w:eastAsia="zh-CN" w:bidi="ar-SA"/>
              </w:rPr>
            </w:pPr>
            <w:r>
              <w:rPr>
                <w:rFonts w:hint="eastAsia" w:ascii="微软雅黑 Light" w:hAnsi="微软雅黑 Light" w:eastAsia="微软雅黑 Light" w:cs="微软雅黑 Light"/>
                <w:b w:val="0"/>
                <w:bCs w:val="0"/>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1408" w:type="dxa"/>
            <w:gridSpan w:val="2"/>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2844" w:type="dxa"/>
            <w:gridSpan w:val="3"/>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1320" w:type="dxa"/>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2284" w:type="dxa"/>
            <w:gridSpan w:val="2"/>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7856" w:type="dxa"/>
            <w:gridSpan w:val="8"/>
            <w:vAlign w:val="center"/>
          </w:tcPr>
          <w:p>
            <w:pPr>
              <w:pageBreakBefore w:val="0"/>
              <w:kinsoku/>
              <w:wordWrap/>
              <w:overflowPunct/>
              <w:topLinePunct w:val="0"/>
              <w:autoSpaceDE/>
              <w:autoSpaceDN/>
              <w:bidi w:val="0"/>
              <w:adjustRightInd w:val="0"/>
              <w:snapToGrid w:val="0"/>
              <w:spacing w:beforeAutospacing="0" w:line="560" w:lineRule="exact"/>
              <w:jc w:val="center"/>
              <w:textAlignment w:val="auto"/>
              <w:rPr>
                <w:rFonts w:hint="eastAsia" w:ascii="微软雅黑 Light" w:hAnsi="微软雅黑 Light" w:eastAsia="微软雅黑 Light" w:cs="微软雅黑 Light"/>
                <w:b w:val="0"/>
                <w:bCs w:val="0"/>
                <w:kern w:val="0"/>
                <w:sz w:val="28"/>
                <w:szCs w:val="28"/>
              </w:rPr>
            </w:pPr>
            <w:r>
              <w:rPr>
                <w:rFonts w:hint="eastAsia" w:ascii="微软雅黑 Light" w:hAnsi="微软雅黑 Light" w:eastAsia="微软雅黑 Light" w:cs="微软雅黑 Light"/>
                <w:b w:val="0"/>
                <w:bCs w:val="0"/>
                <w:kern w:val="0"/>
                <w:sz w:val="28"/>
                <w:szCs w:val="28"/>
                <w:lang w:eastAsia="zh-CN"/>
              </w:rPr>
              <w:t>成</w:t>
            </w:r>
            <w:r>
              <w:rPr>
                <w:rFonts w:hint="eastAsia" w:ascii="微软雅黑 Light" w:hAnsi="微软雅黑 Light" w:eastAsia="微软雅黑 Light" w:cs="微软雅黑 Light"/>
                <w:b w:val="0"/>
                <w:bCs w:val="0"/>
                <w:kern w:val="0"/>
                <w:sz w:val="28"/>
                <w:szCs w:val="28"/>
                <w:lang w:val="en-US" w:eastAsia="zh-CN"/>
              </w:rPr>
              <w:t xml:space="preserve">  </w:t>
            </w:r>
            <w:r>
              <w:rPr>
                <w:rFonts w:hint="eastAsia" w:ascii="微软雅黑 Light" w:hAnsi="微软雅黑 Light" w:eastAsia="微软雅黑 Light" w:cs="微软雅黑 Light"/>
                <w:b w:val="0"/>
                <w:bCs w:val="0"/>
                <w:kern w:val="0"/>
                <w:sz w:val="28"/>
                <w:szCs w:val="28"/>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1408" w:type="dxa"/>
            <w:gridSpan w:val="2"/>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r>
              <w:rPr>
                <w:rFonts w:hint="eastAsia" w:ascii="微软雅黑 Light" w:hAnsi="微软雅黑 Light" w:eastAsia="微软雅黑 Light" w:cs="微软雅黑 Light"/>
                <w:b w:val="0"/>
                <w:bCs w:val="0"/>
                <w:kern w:val="0"/>
                <w:sz w:val="28"/>
                <w:szCs w:val="28"/>
              </w:rPr>
              <w:t>姓名</w:t>
            </w:r>
          </w:p>
        </w:tc>
        <w:tc>
          <w:tcPr>
            <w:tcW w:w="2844" w:type="dxa"/>
            <w:gridSpan w:val="3"/>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r>
              <w:rPr>
                <w:rFonts w:hint="eastAsia" w:ascii="微软雅黑 Light" w:hAnsi="微软雅黑 Light" w:eastAsia="微软雅黑 Light" w:cs="微软雅黑 Light"/>
                <w:b w:val="0"/>
                <w:bCs w:val="0"/>
                <w:kern w:val="0"/>
                <w:sz w:val="28"/>
                <w:szCs w:val="28"/>
              </w:rPr>
              <w:t>单位</w:t>
            </w:r>
          </w:p>
        </w:tc>
        <w:tc>
          <w:tcPr>
            <w:tcW w:w="1320" w:type="dxa"/>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r>
              <w:rPr>
                <w:rFonts w:hint="eastAsia" w:ascii="微软雅黑 Light" w:hAnsi="微软雅黑 Light" w:eastAsia="微软雅黑 Light" w:cs="微软雅黑 Light"/>
                <w:b w:val="0"/>
                <w:bCs w:val="0"/>
                <w:kern w:val="0"/>
                <w:sz w:val="28"/>
                <w:szCs w:val="28"/>
              </w:rPr>
              <w:t>职务</w:t>
            </w:r>
          </w:p>
        </w:tc>
        <w:tc>
          <w:tcPr>
            <w:tcW w:w="2284" w:type="dxa"/>
            <w:gridSpan w:val="2"/>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r>
              <w:rPr>
                <w:rFonts w:hint="eastAsia" w:ascii="微软雅黑 Light" w:hAnsi="微软雅黑 Light" w:eastAsia="微软雅黑 Light" w:cs="微软雅黑 Light"/>
                <w:b w:val="0"/>
                <w:bCs w:val="0"/>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1408" w:type="dxa"/>
            <w:gridSpan w:val="2"/>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2844" w:type="dxa"/>
            <w:gridSpan w:val="3"/>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1320" w:type="dxa"/>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2284" w:type="dxa"/>
            <w:gridSpan w:val="2"/>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1408" w:type="dxa"/>
            <w:gridSpan w:val="2"/>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2844" w:type="dxa"/>
            <w:gridSpan w:val="3"/>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1320" w:type="dxa"/>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2284" w:type="dxa"/>
            <w:gridSpan w:val="2"/>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1408" w:type="dxa"/>
            <w:gridSpan w:val="2"/>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2844" w:type="dxa"/>
            <w:gridSpan w:val="3"/>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1320" w:type="dxa"/>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2284" w:type="dxa"/>
            <w:gridSpan w:val="2"/>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1408" w:type="dxa"/>
            <w:gridSpan w:val="2"/>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2844" w:type="dxa"/>
            <w:gridSpan w:val="3"/>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1320" w:type="dxa"/>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2284" w:type="dxa"/>
            <w:gridSpan w:val="2"/>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restart"/>
            <w:vAlign w:val="center"/>
          </w:tcPr>
          <w:p>
            <w:pPr>
              <w:pageBreakBefore w:val="0"/>
              <w:kinsoku/>
              <w:wordWrap/>
              <w:overflowPunct/>
              <w:topLinePunct w:val="0"/>
              <w:autoSpaceDE/>
              <w:autoSpaceDN/>
              <w:bidi w:val="0"/>
              <w:adjustRightInd w:val="0"/>
              <w:snapToGrid w:val="0"/>
              <w:spacing w:beforeAutospacing="0" w:line="560" w:lineRule="exact"/>
              <w:jc w:val="center"/>
              <w:textAlignment w:val="auto"/>
              <w:rPr>
                <w:rFonts w:hint="eastAsia" w:ascii="微软雅黑 Light" w:hAnsi="微软雅黑 Light" w:eastAsia="微软雅黑 Light" w:cs="微软雅黑 Light"/>
                <w:b w:val="0"/>
                <w:bCs w:val="0"/>
                <w:kern w:val="0"/>
                <w:sz w:val="28"/>
                <w:szCs w:val="28"/>
              </w:rPr>
            </w:pPr>
          </w:p>
          <w:p>
            <w:pPr>
              <w:pageBreakBefore w:val="0"/>
              <w:kinsoku/>
              <w:wordWrap/>
              <w:overflowPunct/>
              <w:topLinePunct w:val="0"/>
              <w:autoSpaceDE/>
              <w:autoSpaceDN/>
              <w:bidi w:val="0"/>
              <w:adjustRightInd w:val="0"/>
              <w:snapToGrid w:val="0"/>
              <w:spacing w:beforeAutospacing="0" w:line="560" w:lineRule="exact"/>
              <w:jc w:val="center"/>
              <w:textAlignment w:val="auto"/>
              <w:rPr>
                <w:rFonts w:hint="eastAsia" w:ascii="微软雅黑 Light" w:hAnsi="微软雅黑 Light" w:eastAsia="微软雅黑 Light" w:cs="微软雅黑 Light"/>
                <w:b w:val="0"/>
                <w:bCs w:val="0"/>
                <w:kern w:val="0"/>
                <w:sz w:val="28"/>
                <w:szCs w:val="28"/>
              </w:rPr>
            </w:pPr>
          </w:p>
          <w:p>
            <w:pPr>
              <w:pageBreakBefore w:val="0"/>
              <w:kinsoku/>
              <w:wordWrap/>
              <w:overflowPunct/>
              <w:topLinePunct w:val="0"/>
              <w:autoSpaceDE/>
              <w:autoSpaceDN/>
              <w:bidi w:val="0"/>
              <w:adjustRightInd w:val="0"/>
              <w:snapToGrid w:val="0"/>
              <w:spacing w:beforeAutospacing="0" w:line="560" w:lineRule="exact"/>
              <w:jc w:val="center"/>
              <w:textAlignment w:val="auto"/>
              <w:rPr>
                <w:rFonts w:hint="eastAsia" w:ascii="微软雅黑 Light" w:hAnsi="微软雅黑 Light" w:eastAsia="微软雅黑 Light" w:cs="微软雅黑 Light"/>
                <w:b w:val="0"/>
                <w:bCs w:val="0"/>
                <w:kern w:val="0"/>
                <w:sz w:val="28"/>
                <w:szCs w:val="28"/>
              </w:rPr>
            </w:pPr>
          </w:p>
          <w:p>
            <w:pPr>
              <w:pageBreakBefore w:val="0"/>
              <w:kinsoku/>
              <w:wordWrap/>
              <w:overflowPunct/>
              <w:topLinePunct w:val="0"/>
              <w:autoSpaceDE/>
              <w:autoSpaceDN/>
              <w:bidi w:val="0"/>
              <w:adjustRightInd w:val="0"/>
              <w:snapToGrid w:val="0"/>
              <w:spacing w:beforeAutospacing="0" w:line="560" w:lineRule="exact"/>
              <w:jc w:val="center"/>
              <w:textAlignment w:val="auto"/>
              <w:rPr>
                <w:rFonts w:hint="eastAsia" w:ascii="微软雅黑 Light" w:hAnsi="微软雅黑 Light" w:eastAsia="微软雅黑 Light" w:cs="微软雅黑 Light"/>
                <w:b w:val="0"/>
                <w:bCs w:val="0"/>
                <w:kern w:val="0"/>
                <w:sz w:val="28"/>
                <w:szCs w:val="28"/>
              </w:rPr>
            </w:pPr>
          </w:p>
          <w:p>
            <w:pPr>
              <w:pageBreakBefore w:val="0"/>
              <w:kinsoku/>
              <w:wordWrap/>
              <w:overflowPunct/>
              <w:topLinePunct w:val="0"/>
              <w:autoSpaceDE/>
              <w:autoSpaceDN/>
              <w:bidi w:val="0"/>
              <w:adjustRightInd w:val="0"/>
              <w:snapToGrid w:val="0"/>
              <w:spacing w:beforeAutospacing="0" w:line="560" w:lineRule="exact"/>
              <w:jc w:val="center"/>
              <w:textAlignment w:val="auto"/>
              <w:rPr>
                <w:rFonts w:hint="eastAsia" w:ascii="微软雅黑 Light" w:hAnsi="微软雅黑 Light" w:eastAsia="微软雅黑 Light" w:cs="微软雅黑 Light"/>
                <w:b w:val="0"/>
                <w:bCs w:val="0"/>
                <w:kern w:val="0"/>
                <w:sz w:val="28"/>
                <w:szCs w:val="28"/>
              </w:rPr>
            </w:pPr>
          </w:p>
          <w:p>
            <w:pPr>
              <w:pageBreakBefore w:val="0"/>
              <w:kinsoku/>
              <w:wordWrap/>
              <w:overflowPunct/>
              <w:topLinePunct w:val="0"/>
              <w:autoSpaceDE/>
              <w:autoSpaceDN/>
              <w:bidi w:val="0"/>
              <w:adjustRightInd w:val="0"/>
              <w:snapToGrid w:val="0"/>
              <w:spacing w:beforeAutospacing="0" w:line="560" w:lineRule="exact"/>
              <w:jc w:val="center"/>
              <w:textAlignment w:val="auto"/>
              <w:rPr>
                <w:rFonts w:hint="eastAsia" w:ascii="微软雅黑 Light" w:hAnsi="微软雅黑 Light" w:eastAsia="微软雅黑 Light" w:cs="微软雅黑 Light"/>
                <w:b w:val="0"/>
                <w:bCs w:val="0"/>
                <w:kern w:val="0"/>
                <w:sz w:val="28"/>
                <w:szCs w:val="28"/>
              </w:rPr>
            </w:pPr>
          </w:p>
          <w:p>
            <w:pPr>
              <w:pageBreakBefore w:val="0"/>
              <w:kinsoku/>
              <w:wordWrap/>
              <w:overflowPunct/>
              <w:topLinePunct w:val="0"/>
              <w:autoSpaceDE/>
              <w:autoSpaceDN/>
              <w:bidi w:val="0"/>
              <w:adjustRightInd w:val="0"/>
              <w:snapToGrid w:val="0"/>
              <w:spacing w:beforeAutospacing="0" w:line="560" w:lineRule="exact"/>
              <w:jc w:val="center"/>
              <w:textAlignment w:val="auto"/>
              <w:rPr>
                <w:rFonts w:hint="eastAsia" w:ascii="微软雅黑 Light" w:hAnsi="微软雅黑 Light" w:eastAsia="微软雅黑 Light" w:cs="微软雅黑 Light"/>
                <w:b w:val="0"/>
                <w:bCs w:val="0"/>
                <w:kern w:val="0"/>
                <w:sz w:val="28"/>
                <w:szCs w:val="28"/>
                <w:lang w:eastAsia="zh-CN"/>
              </w:rPr>
            </w:pPr>
            <w:r>
              <w:rPr>
                <w:rFonts w:hint="eastAsia" w:ascii="微软雅黑 Light" w:hAnsi="微软雅黑 Light" w:eastAsia="微软雅黑 Light" w:cs="微软雅黑 Light"/>
                <w:b w:val="0"/>
                <w:bCs w:val="0"/>
                <w:kern w:val="0"/>
                <w:sz w:val="28"/>
                <w:szCs w:val="28"/>
              </w:rPr>
              <w:t>风险</w:t>
            </w:r>
            <w:r>
              <w:rPr>
                <w:rFonts w:hint="eastAsia" w:ascii="微软雅黑 Light" w:hAnsi="微软雅黑 Light" w:eastAsia="微软雅黑 Light" w:cs="微软雅黑 Light"/>
                <w:b w:val="0"/>
                <w:bCs w:val="0"/>
                <w:kern w:val="0"/>
                <w:sz w:val="28"/>
                <w:szCs w:val="28"/>
                <w:lang w:eastAsia="zh-CN"/>
              </w:rPr>
              <w:t>评估</w:t>
            </w:r>
          </w:p>
        </w:tc>
        <w:tc>
          <w:tcPr>
            <w:tcW w:w="658" w:type="dxa"/>
            <w:vAlign w:val="center"/>
          </w:tcPr>
          <w:p>
            <w:pPr>
              <w:widowControl/>
              <w:jc w:val="center"/>
              <w:textAlignment w:val="center"/>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rPr>
              <w:t>序号</w:t>
            </w:r>
          </w:p>
        </w:tc>
        <w:tc>
          <w:tcPr>
            <w:tcW w:w="1058" w:type="dxa"/>
            <w:gridSpan w:val="2"/>
            <w:vAlign w:val="center"/>
          </w:tcPr>
          <w:p>
            <w:pPr>
              <w:widowControl/>
              <w:jc w:val="center"/>
              <w:textAlignment w:val="center"/>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rPr>
              <w:t>项目</w:t>
            </w:r>
          </w:p>
        </w:tc>
        <w:tc>
          <w:tcPr>
            <w:tcW w:w="4467" w:type="dxa"/>
            <w:gridSpan w:val="4"/>
            <w:vAlign w:val="center"/>
          </w:tcPr>
          <w:p>
            <w:pPr>
              <w:widowControl/>
              <w:jc w:val="center"/>
              <w:textAlignment w:val="center"/>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rPr>
              <w:t>评估内容</w:t>
            </w:r>
          </w:p>
        </w:tc>
        <w:tc>
          <w:tcPr>
            <w:tcW w:w="1673" w:type="dxa"/>
            <w:vAlign w:val="center"/>
          </w:tcPr>
          <w:p>
            <w:pPr>
              <w:widowControl/>
              <w:textAlignment w:val="center"/>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rPr>
              <w:t>是否准备好/做好评估内容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1</w:t>
            </w:r>
          </w:p>
        </w:tc>
        <w:tc>
          <w:tcPr>
            <w:tcW w:w="1058" w:type="dxa"/>
            <w:gridSpan w:val="2"/>
            <w:vMerge w:val="restart"/>
            <w:vAlign w:val="center"/>
          </w:tcPr>
          <w:p>
            <w:pPr>
              <w:widowControl/>
              <w:jc w:val="center"/>
              <w:textAlignment w:val="center"/>
              <w:rPr>
                <w:rFonts w:hint="eastAsia" w:ascii="宋体" w:hAnsi="宋体" w:eastAsia="宋体" w:cs="宋体"/>
                <w:color w:val="000000"/>
                <w:kern w:val="0"/>
                <w:sz w:val="24"/>
              </w:rPr>
            </w:pPr>
          </w:p>
          <w:p>
            <w:pPr>
              <w:widowControl/>
              <w:jc w:val="center"/>
              <w:textAlignment w:val="center"/>
              <w:rPr>
                <w:rFonts w:hint="eastAsia" w:ascii="宋体" w:hAnsi="宋体" w:eastAsia="宋体" w:cs="宋体"/>
                <w:color w:val="000000"/>
                <w:kern w:val="0"/>
                <w:sz w:val="24"/>
              </w:rPr>
            </w:pPr>
          </w:p>
          <w:p>
            <w:pPr>
              <w:widowControl/>
              <w:jc w:val="center"/>
              <w:textAlignment w:val="center"/>
              <w:rPr>
                <w:rFonts w:hint="eastAsia" w:ascii="宋体" w:hAnsi="宋体" w:eastAsia="宋体" w:cs="宋体"/>
                <w:color w:val="000000"/>
                <w:kern w:val="0"/>
                <w:sz w:val="24"/>
              </w:rPr>
            </w:pPr>
          </w:p>
          <w:p>
            <w:pPr>
              <w:widowControl/>
              <w:jc w:val="center"/>
              <w:textAlignment w:val="center"/>
              <w:rPr>
                <w:rFonts w:hint="eastAsia" w:ascii="宋体" w:hAnsi="宋体" w:eastAsia="宋体" w:cs="宋体"/>
                <w:color w:val="000000"/>
                <w:kern w:val="0"/>
                <w:sz w:val="24"/>
              </w:rPr>
            </w:pPr>
          </w:p>
          <w:p>
            <w:pPr>
              <w:widowControl/>
              <w:jc w:val="center"/>
              <w:textAlignment w:val="center"/>
              <w:rPr>
                <w:rFonts w:ascii="微软雅黑 Light" w:hAnsi="微软雅黑 Light" w:eastAsia="微软雅黑 Light" w:cs="微软雅黑 Light"/>
                <w:b w:val="0"/>
                <w:bCs w:val="0"/>
                <w:kern w:val="0"/>
                <w:sz w:val="28"/>
                <w:szCs w:val="28"/>
              </w:rPr>
            </w:pPr>
            <w:r>
              <w:rPr>
                <w:rFonts w:hint="eastAsia" w:ascii="宋体" w:hAnsi="宋体" w:eastAsia="宋体" w:cs="宋体"/>
                <w:color w:val="000000"/>
                <w:kern w:val="0"/>
                <w:sz w:val="24"/>
              </w:rPr>
              <w:t>活动前</w:t>
            </w:r>
          </w:p>
        </w:tc>
        <w:tc>
          <w:tcPr>
            <w:tcW w:w="4467" w:type="dxa"/>
            <w:gridSpan w:val="4"/>
            <w:vAlign w:val="center"/>
          </w:tcPr>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lang w:eastAsia="zh-CN"/>
              </w:rPr>
              <w:t>组织</w:t>
            </w:r>
            <w:r>
              <w:rPr>
                <w:rFonts w:hint="eastAsia" w:ascii="宋体" w:hAnsi="宋体" w:eastAsia="宋体" w:cs="宋体"/>
                <w:color w:val="000000"/>
                <w:kern w:val="0"/>
                <w:sz w:val="24"/>
              </w:rPr>
              <w:t>方案、安保</w:t>
            </w:r>
            <w:r>
              <w:rPr>
                <w:rFonts w:hint="eastAsia" w:ascii="宋体" w:hAnsi="宋体" w:eastAsia="宋体" w:cs="宋体"/>
                <w:color w:val="000000"/>
                <w:kern w:val="0"/>
                <w:sz w:val="24"/>
                <w:lang w:eastAsia="zh-CN"/>
              </w:rPr>
              <w:t>工作</w:t>
            </w:r>
            <w:r>
              <w:rPr>
                <w:rFonts w:hint="eastAsia" w:ascii="宋体" w:hAnsi="宋体" w:eastAsia="宋体" w:cs="宋体"/>
                <w:color w:val="000000"/>
                <w:kern w:val="0"/>
                <w:sz w:val="24"/>
              </w:rPr>
              <w:t>方案、应急处置预案、</w:t>
            </w:r>
            <w:r>
              <w:rPr>
                <w:rFonts w:hint="eastAsia" w:ascii="宋体" w:hAnsi="宋体" w:eastAsia="宋体" w:cs="宋体"/>
                <w:color w:val="000000"/>
                <w:kern w:val="0"/>
                <w:sz w:val="24"/>
                <w:lang w:eastAsia="zh-CN"/>
              </w:rPr>
              <w:t>应急</w:t>
            </w:r>
            <w:r>
              <w:rPr>
                <w:rFonts w:hint="eastAsia" w:ascii="宋体" w:hAnsi="宋体" w:eastAsia="宋体" w:cs="宋体"/>
                <w:color w:val="000000"/>
                <w:kern w:val="0"/>
                <w:sz w:val="24"/>
              </w:rPr>
              <w:t>演练方案、风险评估</w:t>
            </w:r>
            <w:r>
              <w:rPr>
                <w:rFonts w:hint="eastAsia" w:ascii="宋体" w:hAnsi="宋体" w:eastAsia="宋体" w:cs="宋体"/>
                <w:color w:val="000000"/>
                <w:kern w:val="0"/>
                <w:sz w:val="24"/>
                <w:lang w:eastAsia="zh-CN"/>
              </w:rPr>
              <w:t>报告</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sz w:val="24"/>
              </w:rPr>
              <w:t>2</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活动场地险和参赛人员人身意外险保单</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3</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活动风险告知书并告知各参赛人员</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4</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活动补给，补给内容、数量</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5</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安保、医疗、赛事活动物资清单</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6</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活动相关证件</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7</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召开赛事活动筹备会</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8</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应急演练</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9</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活动医疗保障回执</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10</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场地设施及电源电路、消防通道安全检查</w:t>
            </w:r>
          </w:p>
        </w:tc>
        <w:tc>
          <w:tcPr>
            <w:tcW w:w="1673" w:type="dxa"/>
            <w:vAlign w:val="center"/>
          </w:tcPr>
          <w:p>
            <w:pPr>
              <w:widowControl/>
              <w:textAlignment w:val="center"/>
              <w:rPr>
                <w:rFonts w:ascii="Wingdings" w:hAnsi="Wingdings" w:eastAsia="宋体" w:cs="Wingdings"/>
                <w:color w:val="000000"/>
                <w:kern w:val="0"/>
                <w:sz w:val="24"/>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11</w:t>
            </w:r>
          </w:p>
        </w:tc>
        <w:tc>
          <w:tcPr>
            <w:tcW w:w="1058" w:type="dxa"/>
            <w:gridSpan w:val="2"/>
            <w:vMerge w:val="restart"/>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活动中</w:t>
            </w:r>
          </w:p>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人员保障（安保、医疗、志愿者）充足，按时到岗，并按要求值守</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12</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各项物资按照活动的要求准备到位</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13</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各项指引保障安全正确摆放</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14</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安保人员、工作人员适时巡查</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15</w:t>
            </w:r>
          </w:p>
        </w:tc>
        <w:tc>
          <w:tcPr>
            <w:tcW w:w="1058" w:type="dxa"/>
            <w:gridSpan w:val="2"/>
            <w:vMerge w:val="restart"/>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活动后</w:t>
            </w: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回收活动器材</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16</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场地物资有序拆卸，场地复原</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17</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跟踪做好参与活动人员的离会工作</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1992" w:type="dxa"/>
            <w:vMerge w:val="continue"/>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658" w:type="dxa"/>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en-US" w:eastAsia="zh-CN"/>
              </w:rPr>
              <w:t>8</w:t>
            </w:r>
          </w:p>
        </w:tc>
        <w:tc>
          <w:tcPr>
            <w:tcW w:w="1058" w:type="dxa"/>
            <w:gridSpan w:val="2"/>
            <w:vMerge w:val="continue"/>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c>
          <w:tcPr>
            <w:tcW w:w="4467" w:type="dxa"/>
            <w:gridSpan w:val="4"/>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rPr>
              <w:t>活动的宣传推广</w:t>
            </w:r>
          </w:p>
        </w:tc>
        <w:tc>
          <w:tcPr>
            <w:tcW w:w="1673" w:type="dxa"/>
            <w:vAlign w:val="center"/>
          </w:tcPr>
          <w:p>
            <w:pPr>
              <w:widowControl/>
              <w:textAlignment w:val="center"/>
              <w:rPr>
                <w:rFonts w:ascii="Wingdings" w:hAnsi="Wingdings" w:eastAsia="宋体" w:cs="Wingdings"/>
                <w:color w:val="000000"/>
                <w:kern w:val="2"/>
                <w:sz w:val="24"/>
                <w:szCs w:val="24"/>
                <w:lang w:val="en-US" w:eastAsia="zh-CN" w:bidi="ar-SA"/>
              </w:rPr>
            </w:pPr>
            <w:r>
              <w:rPr>
                <w:rFonts w:ascii="Wingdings" w:hAnsi="Wingdings" w:eastAsia="宋体" w:cs="Wingdings"/>
                <w:color w:val="000000"/>
                <w:kern w:val="0"/>
                <w:sz w:val="24"/>
              </w:rPr>
              <w:sym w:font="Wingdings" w:char="00FE"/>
            </w:r>
            <w:r>
              <w:rPr>
                <w:rStyle w:val="17"/>
                <w:rFonts w:hint="default"/>
              </w:rPr>
              <w:t xml:space="preserve">有   </w:t>
            </w:r>
            <w:r>
              <w:rPr>
                <w:rStyle w:val="13"/>
                <w:rFonts w:hint="default" w:eastAsia="宋体"/>
              </w:rPr>
              <w:t>¨</w:t>
            </w:r>
            <w:r>
              <w:rPr>
                <w:rStyle w:val="17"/>
                <w:rFonts w:hint="default"/>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5" w:hRule="atLeast"/>
          <w:jc w:val="center"/>
        </w:trPr>
        <w:tc>
          <w:tcPr>
            <w:tcW w:w="1992" w:type="dxa"/>
            <w:vAlign w:val="center"/>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r>
              <w:rPr>
                <w:rFonts w:hint="eastAsia" w:ascii="微软雅黑 Light" w:hAnsi="微软雅黑 Light" w:eastAsia="微软雅黑 Light" w:cs="微软雅黑 Light"/>
                <w:b w:val="0"/>
                <w:bCs w:val="0"/>
                <w:kern w:val="0"/>
                <w:sz w:val="28"/>
                <w:szCs w:val="28"/>
              </w:rPr>
              <w:t>主要风险点</w:t>
            </w:r>
          </w:p>
        </w:tc>
        <w:tc>
          <w:tcPr>
            <w:tcW w:w="7856" w:type="dxa"/>
            <w:gridSpan w:val="8"/>
          </w:tcPr>
          <w:p>
            <w:pPr>
              <w:pageBreakBefore w:val="0"/>
              <w:kinsoku/>
              <w:wordWrap/>
              <w:overflowPunct/>
              <w:topLinePunct w:val="0"/>
              <w:autoSpaceDE/>
              <w:autoSpaceDN/>
              <w:bidi w:val="0"/>
              <w:adjustRightInd w:val="0"/>
              <w:snapToGrid w:val="0"/>
              <w:spacing w:beforeAutospacing="0" w:line="560" w:lineRule="exact"/>
              <w:textAlignment w:val="auto"/>
              <w:rPr>
                <w:rFonts w:ascii="微软雅黑 Light" w:hAnsi="微软雅黑 Light" w:eastAsia="微软雅黑 Light" w:cs="微软雅黑 Light"/>
                <w:b w:val="0"/>
                <w:bCs w:val="0"/>
                <w:kern w:val="0"/>
                <w:sz w:val="28"/>
                <w:szCs w:val="28"/>
              </w:rPr>
            </w:pPr>
          </w:p>
          <w:p>
            <w:pPr>
              <w:pageBreakBefore w:val="0"/>
              <w:kinsoku/>
              <w:wordWrap/>
              <w:overflowPunct/>
              <w:topLinePunct w:val="0"/>
              <w:autoSpaceDE/>
              <w:autoSpaceDN/>
              <w:bidi w:val="0"/>
              <w:adjustRightInd w:val="0"/>
              <w:snapToGrid w:val="0"/>
              <w:spacing w:beforeAutospacing="0" w:line="560" w:lineRule="exact"/>
              <w:textAlignment w:val="auto"/>
              <w:rPr>
                <w:rFonts w:ascii="微软雅黑 Light" w:hAnsi="微软雅黑 Light" w:eastAsia="微软雅黑 Light" w:cs="微软雅黑 Light"/>
                <w:b w:val="0"/>
                <w:bCs w:val="0"/>
                <w:kern w:val="0"/>
                <w:sz w:val="28"/>
                <w:szCs w:val="28"/>
              </w:rPr>
            </w:pPr>
          </w:p>
          <w:p>
            <w:pPr>
              <w:pageBreakBefore w:val="0"/>
              <w:kinsoku/>
              <w:wordWrap/>
              <w:overflowPunct/>
              <w:topLinePunct w:val="0"/>
              <w:autoSpaceDE/>
              <w:autoSpaceDN/>
              <w:bidi w:val="0"/>
              <w:adjustRightInd w:val="0"/>
              <w:snapToGrid w:val="0"/>
              <w:spacing w:beforeAutospacing="0" w:line="560" w:lineRule="exact"/>
              <w:textAlignment w:val="auto"/>
              <w:rPr>
                <w:rFonts w:ascii="微软雅黑 Light" w:hAnsi="微软雅黑 Light" w:eastAsia="微软雅黑 Light" w:cs="微软雅黑 Light"/>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0" w:hRule="atLeast"/>
          <w:jc w:val="center"/>
        </w:trPr>
        <w:tc>
          <w:tcPr>
            <w:tcW w:w="1992" w:type="dxa"/>
            <w:vAlign w:val="center"/>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r>
              <w:rPr>
                <w:rFonts w:hint="eastAsia" w:ascii="微软雅黑 Light" w:hAnsi="微软雅黑 Light" w:eastAsia="微软雅黑 Light" w:cs="微软雅黑 Light"/>
                <w:b w:val="0"/>
                <w:bCs w:val="0"/>
                <w:kern w:val="0"/>
                <w:sz w:val="28"/>
                <w:szCs w:val="28"/>
                <w:lang w:eastAsia="zh-CN"/>
              </w:rPr>
              <w:t>总体评估</w:t>
            </w:r>
            <w:r>
              <w:rPr>
                <w:rFonts w:hint="eastAsia" w:ascii="微软雅黑 Light" w:hAnsi="微软雅黑 Light" w:eastAsia="微软雅黑 Light" w:cs="微软雅黑 Light"/>
                <w:b w:val="0"/>
                <w:bCs w:val="0"/>
                <w:kern w:val="0"/>
                <w:sz w:val="28"/>
                <w:szCs w:val="28"/>
              </w:rPr>
              <w:t>等级</w:t>
            </w:r>
          </w:p>
        </w:tc>
        <w:tc>
          <w:tcPr>
            <w:tcW w:w="7856" w:type="dxa"/>
            <w:gridSpan w:val="8"/>
            <w:vAlign w:val="center"/>
          </w:tcPr>
          <w:p>
            <w:pPr>
              <w:pageBreakBefore w:val="0"/>
              <w:kinsoku/>
              <w:wordWrap/>
              <w:overflowPunct/>
              <w:topLinePunct w:val="0"/>
              <w:autoSpaceDE/>
              <w:autoSpaceDN/>
              <w:bidi w:val="0"/>
              <w:adjustRightInd w:val="0"/>
              <w:snapToGrid w:val="0"/>
              <w:spacing w:beforeAutospacing="0" w:line="560" w:lineRule="exact"/>
              <w:textAlignment w:val="auto"/>
              <w:rPr>
                <w:rFonts w:ascii="微软雅黑 Light" w:hAnsi="微软雅黑 Light" w:eastAsia="微软雅黑 Light" w:cs="微软雅黑 Light"/>
                <w:b w:val="0"/>
                <w:bCs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9" w:hRule="atLeast"/>
          <w:jc w:val="center"/>
        </w:trPr>
        <w:tc>
          <w:tcPr>
            <w:tcW w:w="1992" w:type="dxa"/>
            <w:vAlign w:val="center"/>
          </w:tcPr>
          <w:p>
            <w:pPr>
              <w:pageBreakBefore w:val="0"/>
              <w:kinsoku/>
              <w:wordWrap/>
              <w:overflowPunct/>
              <w:topLinePunct w:val="0"/>
              <w:autoSpaceDE/>
              <w:autoSpaceDN/>
              <w:bidi w:val="0"/>
              <w:adjustRightInd w:val="0"/>
              <w:snapToGrid w:val="0"/>
              <w:spacing w:beforeAutospacing="0" w:line="560" w:lineRule="exact"/>
              <w:jc w:val="center"/>
              <w:textAlignment w:val="auto"/>
              <w:rPr>
                <w:rFonts w:hint="eastAsia" w:ascii="微软雅黑 Light" w:hAnsi="微软雅黑 Light" w:eastAsia="微软雅黑 Light" w:cs="微软雅黑 Light"/>
                <w:b w:val="0"/>
                <w:bCs w:val="0"/>
                <w:kern w:val="0"/>
                <w:sz w:val="28"/>
                <w:szCs w:val="28"/>
                <w:lang w:eastAsia="zh-CN"/>
              </w:rPr>
            </w:pPr>
            <w:r>
              <w:rPr>
                <w:rFonts w:hint="eastAsia" w:ascii="微软雅黑 Light" w:hAnsi="微软雅黑 Light" w:eastAsia="微软雅黑 Light" w:cs="微软雅黑 Light"/>
                <w:b w:val="0"/>
                <w:bCs w:val="0"/>
                <w:kern w:val="0"/>
                <w:sz w:val="28"/>
                <w:szCs w:val="28"/>
              </w:rPr>
              <w:t>风险防范化解</w:t>
            </w:r>
            <w:r>
              <w:rPr>
                <w:rFonts w:hint="eastAsia" w:ascii="微软雅黑 Light" w:hAnsi="微软雅黑 Light" w:eastAsia="微软雅黑 Light" w:cs="微软雅黑 Light"/>
                <w:b w:val="0"/>
                <w:bCs w:val="0"/>
                <w:kern w:val="0"/>
                <w:sz w:val="28"/>
                <w:szCs w:val="28"/>
                <w:lang w:eastAsia="zh-CN"/>
              </w:rPr>
              <w:t>建议</w:t>
            </w:r>
          </w:p>
        </w:tc>
        <w:tc>
          <w:tcPr>
            <w:tcW w:w="7856" w:type="dxa"/>
            <w:gridSpan w:val="8"/>
            <w:vAlign w:val="center"/>
          </w:tcPr>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3" w:hRule="atLeast"/>
          <w:jc w:val="center"/>
        </w:trPr>
        <w:tc>
          <w:tcPr>
            <w:tcW w:w="1992" w:type="dxa"/>
            <w:vAlign w:val="center"/>
          </w:tcPr>
          <w:p>
            <w:pPr>
              <w:pageBreakBefore w:val="0"/>
              <w:kinsoku/>
              <w:wordWrap/>
              <w:overflowPunct/>
              <w:topLinePunct w:val="0"/>
              <w:autoSpaceDE/>
              <w:autoSpaceDN/>
              <w:bidi w:val="0"/>
              <w:adjustRightInd w:val="0"/>
              <w:snapToGrid w:val="0"/>
              <w:spacing w:beforeAutospacing="0" w:line="560" w:lineRule="exact"/>
              <w:jc w:val="center"/>
              <w:textAlignment w:val="auto"/>
              <w:rPr>
                <w:rFonts w:ascii="微软雅黑 Light" w:hAnsi="微软雅黑 Light" w:eastAsia="微软雅黑 Light" w:cs="微软雅黑 Light"/>
                <w:b w:val="0"/>
                <w:bCs w:val="0"/>
                <w:kern w:val="0"/>
                <w:sz w:val="28"/>
                <w:szCs w:val="28"/>
              </w:rPr>
            </w:pPr>
            <w:r>
              <w:rPr>
                <w:rFonts w:hint="eastAsia" w:ascii="微软雅黑 Light" w:hAnsi="微软雅黑 Light" w:eastAsia="微软雅黑 Light" w:cs="微软雅黑 Light"/>
                <w:b w:val="0"/>
                <w:bCs w:val="0"/>
                <w:kern w:val="0"/>
                <w:sz w:val="28"/>
                <w:szCs w:val="28"/>
              </w:rPr>
              <w:t>评估意见</w:t>
            </w:r>
          </w:p>
        </w:tc>
        <w:tc>
          <w:tcPr>
            <w:tcW w:w="7856" w:type="dxa"/>
            <w:gridSpan w:val="8"/>
            <w:vAlign w:val="center"/>
          </w:tcPr>
          <w:p>
            <w:pPr>
              <w:pageBreakBefore w:val="0"/>
              <w:kinsoku/>
              <w:wordWrap/>
              <w:overflowPunct/>
              <w:topLinePunct w:val="0"/>
              <w:autoSpaceDE/>
              <w:autoSpaceDN/>
              <w:bidi w:val="0"/>
              <w:adjustRightInd w:val="0"/>
              <w:snapToGrid w:val="0"/>
              <w:spacing w:beforeAutospacing="0" w:line="560" w:lineRule="exact"/>
              <w:textAlignment w:val="auto"/>
              <w:rPr>
                <w:rFonts w:ascii="微软雅黑 Light" w:hAnsi="微软雅黑 Light" w:eastAsia="微软雅黑 Light" w:cs="微软雅黑 Light"/>
                <w:b w:val="0"/>
                <w:bCs w:val="0"/>
                <w:kern w:val="0"/>
                <w:sz w:val="28"/>
                <w:szCs w:val="28"/>
              </w:rPr>
            </w:pPr>
          </w:p>
          <w:p>
            <w:pPr>
              <w:pageBreakBefore w:val="0"/>
              <w:kinsoku/>
              <w:wordWrap/>
              <w:overflowPunct/>
              <w:topLinePunct w:val="0"/>
              <w:autoSpaceDE/>
              <w:autoSpaceDN/>
              <w:bidi w:val="0"/>
              <w:adjustRightInd w:val="0"/>
              <w:snapToGrid w:val="0"/>
              <w:spacing w:beforeAutospacing="0" w:line="560" w:lineRule="exact"/>
              <w:textAlignment w:val="auto"/>
              <w:rPr>
                <w:rFonts w:ascii="微软雅黑 Light" w:hAnsi="微软雅黑 Light" w:eastAsia="微软雅黑 Light" w:cs="微软雅黑 Light"/>
                <w:b w:val="0"/>
                <w:bCs w:val="0"/>
                <w:kern w:val="0"/>
                <w:sz w:val="28"/>
                <w:szCs w:val="28"/>
              </w:rPr>
            </w:pPr>
          </w:p>
          <w:p>
            <w:pPr>
              <w:pageBreakBefore w:val="0"/>
              <w:kinsoku/>
              <w:wordWrap/>
              <w:overflowPunct/>
              <w:topLinePunct w:val="0"/>
              <w:autoSpaceDE/>
              <w:autoSpaceDN/>
              <w:bidi w:val="0"/>
              <w:adjustRightInd w:val="0"/>
              <w:snapToGrid w:val="0"/>
              <w:spacing w:beforeAutospacing="0" w:line="560" w:lineRule="exact"/>
              <w:jc w:val="both"/>
              <w:textAlignment w:val="auto"/>
              <w:rPr>
                <w:rFonts w:ascii="微软雅黑 Light" w:hAnsi="微软雅黑 Light" w:eastAsia="微软雅黑 Light" w:cs="微软雅黑 Light"/>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8" w:hRule="atLeast"/>
          <w:jc w:val="center"/>
        </w:trPr>
        <w:tc>
          <w:tcPr>
            <w:tcW w:w="9848" w:type="dxa"/>
            <w:gridSpan w:val="9"/>
          </w:tcPr>
          <w:p>
            <w:pPr>
              <w:pageBreakBefore w:val="0"/>
              <w:kinsoku/>
              <w:wordWrap/>
              <w:overflowPunct/>
              <w:topLinePunct w:val="0"/>
              <w:autoSpaceDE/>
              <w:autoSpaceDN/>
              <w:bidi w:val="0"/>
              <w:adjustRightInd w:val="0"/>
              <w:snapToGrid w:val="0"/>
              <w:spacing w:beforeAutospacing="0" w:line="560" w:lineRule="exact"/>
              <w:textAlignment w:val="auto"/>
              <w:rPr>
                <w:rFonts w:ascii="微软雅黑 Light" w:hAnsi="微软雅黑 Light" w:eastAsia="微软雅黑 Light" w:cs="微软雅黑 Light"/>
                <w:b w:val="0"/>
                <w:bCs w:val="0"/>
                <w:kern w:val="0"/>
                <w:sz w:val="28"/>
                <w:szCs w:val="28"/>
              </w:rPr>
            </w:pPr>
          </w:p>
          <w:p>
            <w:pPr>
              <w:pageBreakBefore w:val="0"/>
              <w:kinsoku/>
              <w:wordWrap/>
              <w:overflowPunct/>
              <w:topLinePunct w:val="0"/>
              <w:autoSpaceDE/>
              <w:autoSpaceDN/>
              <w:bidi w:val="0"/>
              <w:adjustRightInd w:val="0"/>
              <w:snapToGrid w:val="0"/>
              <w:spacing w:beforeAutospacing="0" w:line="560" w:lineRule="exact"/>
              <w:textAlignment w:val="auto"/>
              <w:rPr>
                <w:rFonts w:hint="eastAsia" w:ascii="微软雅黑 Light" w:hAnsi="微软雅黑 Light" w:eastAsia="微软雅黑 Light" w:cs="微软雅黑 Light"/>
                <w:b w:val="0"/>
                <w:bCs w:val="0"/>
                <w:kern w:val="0"/>
                <w:sz w:val="28"/>
                <w:szCs w:val="28"/>
              </w:rPr>
            </w:pPr>
          </w:p>
          <w:p>
            <w:pPr>
              <w:pageBreakBefore w:val="0"/>
              <w:kinsoku/>
              <w:wordWrap/>
              <w:overflowPunct/>
              <w:topLinePunct w:val="0"/>
              <w:autoSpaceDE/>
              <w:autoSpaceDN/>
              <w:bidi w:val="0"/>
              <w:adjustRightInd w:val="0"/>
              <w:snapToGrid w:val="0"/>
              <w:spacing w:beforeAutospacing="0" w:line="560" w:lineRule="exact"/>
              <w:ind w:firstLine="2240" w:firstLineChars="800"/>
              <w:textAlignment w:val="auto"/>
              <w:rPr>
                <w:rFonts w:hint="default" w:ascii="微软雅黑 Light" w:hAnsi="微软雅黑 Light" w:eastAsia="微软雅黑 Light" w:cs="微软雅黑 Light"/>
                <w:b w:val="0"/>
                <w:bCs w:val="0"/>
                <w:kern w:val="0"/>
                <w:sz w:val="28"/>
                <w:szCs w:val="28"/>
                <w:lang w:val="en-US" w:eastAsia="zh-CN"/>
              </w:rPr>
            </w:pPr>
            <w:r>
              <w:rPr>
                <w:rFonts w:hint="eastAsia" w:ascii="微软雅黑 Light" w:hAnsi="微软雅黑 Light" w:eastAsia="微软雅黑 Light" w:cs="微软雅黑 Light"/>
                <w:b w:val="0"/>
                <w:bCs w:val="0"/>
                <w:kern w:val="0"/>
                <w:sz w:val="28"/>
                <w:szCs w:val="28"/>
                <w:lang w:eastAsia="zh-CN"/>
              </w:rPr>
              <w:t>评估方</w:t>
            </w:r>
            <w:r>
              <w:rPr>
                <w:rFonts w:hint="eastAsia" w:ascii="微软雅黑 Light" w:hAnsi="微软雅黑 Light" w:eastAsia="微软雅黑 Light" w:cs="微软雅黑 Light"/>
                <w:b w:val="0"/>
                <w:bCs w:val="0"/>
                <w:kern w:val="0"/>
                <w:sz w:val="28"/>
                <w:szCs w:val="28"/>
              </w:rPr>
              <w:t>法定代表人（负责人）签字：</w:t>
            </w:r>
            <w:r>
              <w:rPr>
                <w:rFonts w:hint="eastAsia" w:ascii="微软雅黑 Light" w:hAnsi="微软雅黑 Light" w:eastAsia="微软雅黑 Light" w:cs="微软雅黑 Light"/>
                <w:b w:val="0"/>
                <w:bCs w:val="0"/>
                <w:kern w:val="0"/>
                <w:sz w:val="28"/>
                <w:szCs w:val="28"/>
                <w:lang w:val="en-US" w:eastAsia="zh-CN"/>
              </w:rPr>
              <w:t xml:space="preserve"> </w:t>
            </w:r>
          </w:p>
          <w:p>
            <w:pPr>
              <w:pageBreakBefore w:val="0"/>
              <w:kinsoku/>
              <w:wordWrap/>
              <w:overflowPunct/>
              <w:topLinePunct w:val="0"/>
              <w:autoSpaceDE/>
              <w:autoSpaceDN/>
              <w:bidi w:val="0"/>
              <w:adjustRightInd w:val="0"/>
              <w:snapToGrid w:val="0"/>
              <w:spacing w:beforeAutospacing="0" w:line="560" w:lineRule="exact"/>
              <w:textAlignment w:val="auto"/>
              <w:rPr>
                <w:rFonts w:ascii="微软雅黑 Light" w:hAnsi="微软雅黑 Light" w:eastAsia="微软雅黑 Light" w:cs="微软雅黑 Light"/>
                <w:b w:val="0"/>
                <w:bCs w:val="0"/>
                <w:kern w:val="0"/>
                <w:sz w:val="28"/>
                <w:szCs w:val="28"/>
              </w:rPr>
            </w:pPr>
            <w:bookmarkStart w:id="1" w:name="_GoBack"/>
            <w:bookmarkEnd w:id="1"/>
          </w:p>
          <w:p>
            <w:pPr>
              <w:pageBreakBefore w:val="0"/>
              <w:kinsoku/>
              <w:wordWrap/>
              <w:overflowPunct/>
              <w:topLinePunct w:val="0"/>
              <w:autoSpaceDE/>
              <w:autoSpaceDN/>
              <w:bidi w:val="0"/>
              <w:adjustRightInd w:val="0"/>
              <w:snapToGrid w:val="0"/>
              <w:spacing w:beforeAutospacing="0" w:line="560" w:lineRule="exact"/>
              <w:ind w:firstLine="7280" w:firstLineChars="2600"/>
              <w:jc w:val="both"/>
              <w:textAlignment w:val="auto"/>
              <w:rPr>
                <w:rFonts w:ascii="微软雅黑 Light" w:hAnsi="微软雅黑 Light" w:eastAsia="微软雅黑 Light" w:cs="微软雅黑 Light"/>
                <w:b w:val="0"/>
                <w:bCs w:val="0"/>
                <w:kern w:val="0"/>
                <w:sz w:val="28"/>
                <w:szCs w:val="28"/>
              </w:rPr>
            </w:pPr>
            <w:r>
              <w:rPr>
                <w:rFonts w:hint="eastAsia" w:ascii="微软雅黑 Light" w:hAnsi="微软雅黑 Light" w:eastAsia="微软雅黑 Light" w:cs="微软雅黑 Light"/>
                <w:b w:val="0"/>
                <w:bCs w:val="0"/>
                <w:kern w:val="0"/>
                <w:sz w:val="28"/>
                <w:szCs w:val="28"/>
              </w:rPr>
              <w:t>年   月   日</w:t>
            </w:r>
          </w:p>
        </w:tc>
      </w:tr>
    </w:tbl>
    <w:p>
      <w:pPr>
        <w:snapToGrid w:val="0"/>
        <w:spacing w:line="580" w:lineRule="exact"/>
        <w:jc w:val="both"/>
        <w:rPr>
          <w:rFonts w:hint="default" w:ascii="方正小标宋_GBK" w:hAnsi="方正小标宋_GBK" w:eastAsia="方正小标宋_GBK" w:cs="方正小标宋_GBK"/>
          <w:sz w:val="44"/>
          <w:szCs w:val="44"/>
          <w:lang w:val="en-US" w:eastAsia="zh-CN"/>
        </w:rPr>
      </w:pPr>
    </w:p>
    <w:sectPr>
      <w:footerReference r:id="rId3" w:type="default"/>
      <w:pgSz w:w="11905"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Light">
    <w:altName w:val="方正黑体_GBK"/>
    <w:panose1 w:val="020B0502040204020203"/>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B1E10"/>
    <w:multiLevelType w:val="singleLevel"/>
    <w:tmpl w:val="85CB1E10"/>
    <w:lvl w:ilvl="0" w:tentative="0">
      <w:start w:val="1"/>
      <w:numFmt w:val="chineseCounting"/>
      <w:suff w:val="nothing"/>
      <w:lvlText w:val="（%1）"/>
      <w:lvlJc w:val="left"/>
      <w:rPr>
        <w:rFonts w:hint="eastAsia"/>
      </w:rPr>
    </w:lvl>
  </w:abstractNum>
  <w:abstractNum w:abstractNumId="1">
    <w:nsid w:val="89CCE649"/>
    <w:multiLevelType w:val="singleLevel"/>
    <w:tmpl w:val="89CCE649"/>
    <w:lvl w:ilvl="0" w:tentative="0">
      <w:start w:val="1"/>
      <w:numFmt w:val="chineseCounting"/>
      <w:suff w:val="nothing"/>
      <w:lvlText w:val="（%1）"/>
      <w:lvlJc w:val="left"/>
      <w:rPr>
        <w:rFonts w:hint="eastAsia" w:ascii="楷体_GB2312" w:hAnsi="楷体_GB2312" w:eastAsia="楷体_GB2312" w:cs="楷体_GB2312"/>
      </w:rPr>
    </w:lvl>
  </w:abstractNum>
  <w:abstractNum w:abstractNumId="2">
    <w:nsid w:val="F652BC1E"/>
    <w:multiLevelType w:val="singleLevel"/>
    <w:tmpl w:val="F652BC1E"/>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9"/>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F0236"/>
    <w:rsid w:val="000222D0"/>
    <w:rsid w:val="000E013A"/>
    <w:rsid w:val="001145C2"/>
    <w:rsid w:val="001C0975"/>
    <w:rsid w:val="002060C9"/>
    <w:rsid w:val="0024731D"/>
    <w:rsid w:val="00292DFA"/>
    <w:rsid w:val="002A2AE8"/>
    <w:rsid w:val="002C3BF6"/>
    <w:rsid w:val="002C7975"/>
    <w:rsid w:val="002F7A50"/>
    <w:rsid w:val="003649CC"/>
    <w:rsid w:val="0037502F"/>
    <w:rsid w:val="003A5E02"/>
    <w:rsid w:val="003D03E5"/>
    <w:rsid w:val="00441AEC"/>
    <w:rsid w:val="00457F41"/>
    <w:rsid w:val="0052526F"/>
    <w:rsid w:val="0053257F"/>
    <w:rsid w:val="0059739E"/>
    <w:rsid w:val="005B0FBC"/>
    <w:rsid w:val="005F497A"/>
    <w:rsid w:val="00601CE8"/>
    <w:rsid w:val="00603DBC"/>
    <w:rsid w:val="006360D6"/>
    <w:rsid w:val="00656280"/>
    <w:rsid w:val="00677CF2"/>
    <w:rsid w:val="0068610C"/>
    <w:rsid w:val="006B4AD5"/>
    <w:rsid w:val="006C51A3"/>
    <w:rsid w:val="007047CE"/>
    <w:rsid w:val="0081332C"/>
    <w:rsid w:val="00821D1E"/>
    <w:rsid w:val="008567B6"/>
    <w:rsid w:val="008762EE"/>
    <w:rsid w:val="00893548"/>
    <w:rsid w:val="008E3475"/>
    <w:rsid w:val="008F2A84"/>
    <w:rsid w:val="009823AF"/>
    <w:rsid w:val="009D4942"/>
    <w:rsid w:val="00A139AE"/>
    <w:rsid w:val="00A6477C"/>
    <w:rsid w:val="00A73B82"/>
    <w:rsid w:val="00A83FBF"/>
    <w:rsid w:val="00B524A2"/>
    <w:rsid w:val="00B87174"/>
    <w:rsid w:val="00BC774E"/>
    <w:rsid w:val="00BE4B6D"/>
    <w:rsid w:val="00C2180C"/>
    <w:rsid w:val="00C321FB"/>
    <w:rsid w:val="00C37AAF"/>
    <w:rsid w:val="00C459A2"/>
    <w:rsid w:val="00C81604"/>
    <w:rsid w:val="00C82D2B"/>
    <w:rsid w:val="00CB3760"/>
    <w:rsid w:val="00CD1EF7"/>
    <w:rsid w:val="00D3726E"/>
    <w:rsid w:val="00DB1CB2"/>
    <w:rsid w:val="00DE372C"/>
    <w:rsid w:val="00E37645"/>
    <w:rsid w:val="00EA6A5A"/>
    <w:rsid w:val="00FA73EF"/>
    <w:rsid w:val="00FB12C6"/>
    <w:rsid w:val="00FD435A"/>
    <w:rsid w:val="037F66B1"/>
    <w:rsid w:val="04322060"/>
    <w:rsid w:val="05061C3F"/>
    <w:rsid w:val="07E75FCD"/>
    <w:rsid w:val="0C9733A5"/>
    <w:rsid w:val="0EFD4967"/>
    <w:rsid w:val="0FBE7BEB"/>
    <w:rsid w:val="1145D33D"/>
    <w:rsid w:val="1527BEDE"/>
    <w:rsid w:val="15EB5426"/>
    <w:rsid w:val="160C0564"/>
    <w:rsid w:val="199A2AFE"/>
    <w:rsid w:val="1EED7F3E"/>
    <w:rsid w:val="1FF46308"/>
    <w:rsid w:val="207B2207"/>
    <w:rsid w:val="237F910A"/>
    <w:rsid w:val="25A754B8"/>
    <w:rsid w:val="25CBF4B2"/>
    <w:rsid w:val="26CB8B21"/>
    <w:rsid w:val="26FE8A9E"/>
    <w:rsid w:val="274B61B8"/>
    <w:rsid w:val="2B5857BE"/>
    <w:rsid w:val="2D7CE95C"/>
    <w:rsid w:val="2E5E42FB"/>
    <w:rsid w:val="2E9E5878"/>
    <w:rsid w:val="2F75C619"/>
    <w:rsid w:val="2FBBAB56"/>
    <w:rsid w:val="2FDF130B"/>
    <w:rsid w:val="328A5AD2"/>
    <w:rsid w:val="330F0236"/>
    <w:rsid w:val="3387840E"/>
    <w:rsid w:val="357753B1"/>
    <w:rsid w:val="35DEC6B6"/>
    <w:rsid w:val="374F8D74"/>
    <w:rsid w:val="377B1E19"/>
    <w:rsid w:val="378BAD3B"/>
    <w:rsid w:val="37FCB43D"/>
    <w:rsid w:val="37FD7A71"/>
    <w:rsid w:val="38D445AB"/>
    <w:rsid w:val="3915B582"/>
    <w:rsid w:val="39EE96E2"/>
    <w:rsid w:val="3A3C510A"/>
    <w:rsid w:val="3A7A0D37"/>
    <w:rsid w:val="3ABD5330"/>
    <w:rsid w:val="3AFACCFD"/>
    <w:rsid w:val="3AFFBD61"/>
    <w:rsid w:val="3B4E4C94"/>
    <w:rsid w:val="3B7FAAA7"/>
    <w:rsid w:val="3BFDC359"/>
    <w:rsid w:val="3D0062CC"/>
    <w:rsid w:val="3DFFA8D5"/>
    <w:rsid w:val="3E302064"/>
    <w:rsid w:val="3E746CF4"/>
    <w:rsid w:val="3E7F8228"/>
    <w:rsid w:val="3EEAF6CC"/>
    <w:rsid w:val="3EFB3403"/>
    <w:rsid w:val="3F5D0303"/>
    <w:rsid w:val="3F7E5A0B"/>
    <w:rsid w:val="3F88810E"/>
    <w:rsid w:val="3FAE87D2"/>
    <w:rsid w:val="3FBF6FFB"/>
    <w:rsid w:val="3FCB38EC"/>
    <w:rsid w:val="3FCCCF25"/>
    <w:rsid w:val="3FE77436"/>
    <w:rsid w:val="3FFBB2C1"/>
    <w:rsid w:val="3FFF40FD"/>
    <w:rsid w:val="3FFF4669"/>
    <w:rsid w:val="42F16A02"/>
    <w:rsid w:val="45B77A08"/>
    <w:rsid w:val="4D5354A9"/>
    <w:rsid w:val="4E9E8DD9"/>
    <w:rsid w:val="4FE7ECEA"/>
    <w:rsid w:val="4FEEBB9F"/>
    <w:rsid w:val="4FFFB8B6"/>
    <w:rsid w:val="5366505A"/>
    <w:rsid w:val="54FD1F87"/>
    <w:rsid w:val="55BFA905"/>
    <w:rsid w:val="55EFE913"/>
    <w:rsid w:val="563DB66F"/>
    <w:rsid w:val="567F57E7"/>
    <w:rsid w:val="56BF243A"/>
    <w:rsid w:val="56CE30D6"/>
    <w:rsid w:val="579F2901"/>
    <w:rsid w:val="57B327B5"/>
    <w:rsid w:val="59E4C1E6"/>
    <w:rsid w:val="59F51735"/>
    <w:rsid w:val="5AFFC51B"/>
    <w:rsid w:val="5B5741E7"/>
    <w:rsid w:val="5B7F0933"/>
    <w:rsid w:val="5BB33647"/>
    <w:rsid w:val="5BFF32FB"/>
    <w:rsid w:val="5CFB10B5"/>
    <w:rsid w:val="5D7FB18F"/>
    <w:rsid w:val="5D9C041A"/>
    <w:rsid w:val="5DF304BC"/>
    <w:rsid w:val="5DF786B4"/>
    <w:rsid w:val="5DFF9251"/>
    <w:rsid w:val="5E17D9F1"/>
    <w:rsid w:val="5E78656F"/>
    <w:rsid w:val="5EC7E5D6"/>
    <w:rsid w:val="5EE956D6"/>
    <w:rsid w:val="5EF74BEA"/>
    <w:rsid w:val="5EFFDC4F"/>
    <w:rsid w:val="5F38EDCE"/>
    <w:rsid w:val="5F39CE5F"/>
    <w:rsid w:val="5F7F9A60"/>
    <w:rsid w:val="5FD7F039"/>
    <w:rsid w:val="5FFD4DC6"/>
    <w:rsid w:val="648D77C1"/>
    <w:rsid w:val="64E744DA"/>
    <w:rsid w:val="67BB0631"/>
    <w:rsid w:val="67F7FBAE"/>
    <w:rsid w:val="67FFEEBD"/>
    <w:rsid w:val="696F961E"/>
    <w:rsid w:val="6BBB36D2"/>
    <w:rsid w:val="6BFFA535"/>
    <w:rsid w:val="6CDF34F4"/>
    <w:rsid w:val="6E9F8610"/>
    <w:rsid w:val="6EBDB572"/>
    <w:rsid w:val="6EF713B2"/>
    <w:rsid w:val="6F377148"/>
    <w:rsid w:val="6F3F3C1F"/>
    <w:rsid w:val="6FA223D0"/>
    <w:rsid w:val="6FDBCA09"/>
    <w:rsid w:val="6FEBA9AC"/>
    <w:rsid w:val="6FEE9DBC"/>
    <w:rsid w:val="6FF2E698"/>
    <w:rsid w:val="6FFAEB1C"/>
    <w:rsid w:val="6FFE8910"/>
    <w:rsid w:val="71F6645F"/>
    <w:rsid w:val="72FB3445"/>
    <w:rsid w:val="72FF227C"/>
    <w:rsid w:val="736EA81B"/>
    <w:rsid w:val="73DAE9C1"/>
    <w:rsid w:val="745F0B65"/>
    <w:rsid w:val="74EFE74E"/>
    <w:rsid w:val="752256E7"/>
    <w:rsid w:val="755276DA"/>
    <w:rsid w:val="755CEA85"/>
    <w:rsid w:val="756E5301"/>
    <w:rsid w:val="75FA76EC"/>
    <w:rsid w:val="7677FA0E"/>
    <w:rsid w:val="76B5A99D"/>
    <w:rsid w:val="76FF5B87"/>
    <w:rsid w:val="775FD518"/>
    <w:rsid w:val="777DBF29"/>
    <w:rsid w:val="7791866E"/>
    <w:rsid w:val="77AF91BD"/>
    <w:rsid w:val="77B74CA1"/>
    <w:rsid w:val="77C13E8B"/>
    <w:rsid w:val="77ECEEA8"/>
    <w:rsid w:val="77EF5FC7"/>
    <w:rsid w:val="77F533E4"/>
    <w:rsid w:val="77FE4A86"/>
    <w:rsid w:val="77FF9516"/>
    <w:rsid w:val="77FFC132"/>
    <w:rsid w:val="78EEDC28"/>
    <w:rsid w:val="795845F7"/>
    <w:rsid w:val="79CE771F"/>
    <w:rsid w:val="79D6B462"/>
    <w:rsid w:val="7A9506BC"/>
    <w:rsid w:val="7AFF2528"/>
    <w:rsid w:val="7AFFEBB2"/>
    <w:rsid w:val="7B71013D"/>
    <w:rsid w:val="7B7E87ED"/>
    <w:rsid w:val="7B7F3888"/>
    <w:rsid w:val="7B9AC4F7"/>
    <w:rsid w:val="7BB85A7F"/>
    <w:rsid w:val="7BD6A63A"/>
    <w:rsid w:val="7BDE5F67"/>
    <w:rsid w:val="7BDFCBAA"/>
    <w:rsid w:val="7BEF0B5F"/>
    <w:rsid w:val="7BFB47D4"/>
    <w:rsid w:val="7BFDC105"/>
    <w:rsid w:val="7BFDDDE4"/>
    <w:rsid w:val="7BFF662B"/>
    <w:rsid w:val="7C1EFD87"/>
    <w:rsid w:val="7C7DB999"/>
    <w:rsid w:val="7CB75909"/>
    <w:rsid w:val="7CFC3D69"/>
    <w:rsid w:val="7D0388C6"/>
    <w:rsid w:val="7D55F83A"/>
    <w:rsid w:val="7DCD3C70"/>
    <w:rsid w:val="7DFF25E9"/>
    <w:rsid w:val="7DFF9A8A"/>
    <w:rsid w:val="7E74BFAA"/>
    <w:rsid w:val="7E7CD93E"/>
    <w:rsid w:val="7EBB1D6C"/>
    <w:rsid w:val="7EDB3751"/>
    <w:rsid w:val="7EDF529B"/>
    <w:rsid w:val="7EDFEA3F"/>
    <w:rsid w:val="7EE5580C"/>
    <w:rsid w:val="7EFB77A7"/>
    <w:rsid w:val="7EFF9246"/>
    <w:rsid w:val="7F2B6D1B"/>
    <w:rsid w:val="7F3DFC0B"/>
    <w:rsid w:val="7F5FBD92"/>
    <w:rsid w:val="7F6ECB20"/>
    <w:rsid w:val="7F7721C1"/>
    <w:rsid w:val="7F7E853C"/>
    <w:rsid w:val="7F7F69AF"/>
    <w:rsid w:val="7F7FE1AE"/>
    <w:rsid w:val="7F8617EF"/>
    <w:rsid w:val="7F970EB2"/>
    <w:rsid w:val="7F9F8413"/>
    <w:rsid w:val="7FAE13A2"/>
    <w:rsid w:val="7FDB3C8C"/>
    <w:rsid w:val="7FDCDC0C"/>
    <w:rsid w:val="7FDF7997"/>
    <w:rsid w:val="7FE36E45"/>
    <w:rsid w:val="7FE76F9E"/>
    <w:rsid w:val="7FED28AE"/>
    <w:rsid w:val="7FED7AE7"/>
    <w:rsid w:val="7FF3E620"/>
    <w:rsid w:val="7FF5A913"/>
    <w:rsid w:val="7FF5BEFD"/>
    <w:rsid w:val="7FF9776A"/>
    <w:rsid w:val="7FFBFA6A"/>
    <w:rsid w:val="7FFEAFC1"/>
    <w:rsid w:val="8175C307"/>
    <w:rsid w:val="86C9BFBD"/>
    <w:rsid w:val="8CBE956E"/>
    <w:rsid w:val="8EDF2347"/>
    <w:rsid w:val="8FFB04FC"/>
    <w:rsid w:val="978F7E65"/>
    <w:rsid w:val="97CB8465"/>
    <w:rsid w:val="97E554AD"/>
    <w:rsid w:val="99EAD438"/>
    <w:rsid w:val="9BD7BAC9"/>
    <w:rsid w:val="9BF6C17A"/>
    <w:rsid w:val="9EBD4355"/>
    <w:rsid w:val="A5BFD43B"/>
    <w:rsid w:val="A6EFC311"/>
    <w:rsid w:val="A7DF4D19"/>
    <w:rsid w:val="A7FF9F7B"/>
    <w:rsid w:val="A93FFDA7"/>
    <w:rsid w:val="ABEF5DBE"/>
    <w:rsid w:val="ABFB8A38"/>
    <w:rsid w:val="ABFF5621"/>
    <w:rsid w:val="AD9F8118"/>
    <w:rsid w:val="AF7D9D65"/>
    <w:rsid w:val="AFAB3206"/>
    <w:rsid w:val="AFBEF6A9"/>
    <w:rsid w:val="AFDC8F01"/>
    <w:rsid w:val="AFF74833"/>
    <w:rsid w:val="B5BF8E17"/>
    <w:rsid w:val="B63318DB"/>
    <w:rsid w:val="B7779353"/>
    <w:rsid w:val="B7CD1E7A"/>
    <w:rsid w:val="B7DF1371"/>
    <w:rsid w:val="B917A8D8"/>
    <w:rsid w:val="B9BD6651"/>
    <w:rsid w:val="BBAF4B64"/>
    <w:rsid w:val="BBF4A2FC"/>
    <w:rsid w:val="BD9348FA"/>
    <w:rsid w:val="BDA4E260"/>
    <w:rsid w:val="BDFFCC14"/>
    <w:rsid w:val="BE6711F6"/>
    <w:rsid w:val="BE77946B"/>
    <w:rsid w:val="BEBE4DB6"/>
    <w:rsid w:val="BEFD0D81"/>
    <w:rsid w:val="BF7F9BCC"/>
    <w:rsid w:val="BFB43FF6"/>
    <w:rsid w:val="BFBFCC9E"/>
    <w:rsid w:val="BFEF2729"/>
    <w:rsid w:val="BFF3DD6F"/>
    <w:rsid w:val="BFFF6B81"/>
    <w:rsid w:val="C5FF35D0"/>
    <w:rsid w:val="C79B15CF"/>
    <w:rsid w:val="C7B26D68"/>
    <w:rsid w:val="CBEF3DA4"/>
    <w:rsid w:val="CBF3B979"/>
    <w:rsid w:val="CEFFE3C0"/>
    <w:rsid w:val="CF5F771D"/>
    <w:rsid w:val="CFE7EFB8"/>
    <w:rsid w:val="D2FF2D50"/>
    <w:rsid w:val="D30E1978"/>
    <w:rsid w:val="D4CB5E26"/>
    <w:rsid w:val="D5EF0B37"/>
    <w:rsid w:val="D5EFC98A"/>
    <w:rsid w:val="D5F71631"/>
    <w:rsid w:val="D6970026"/>
    <w:rsid w:val="D7C7A2C1"/>
    <w:rsid w:val="D7FFF828"/>
    <w:rsid w:val="D86B3775"/>
    <w:rsid w:val="DB7B3EEC"/>
    <w:rsid w:val="DBAF573A"/>
    <w:rsid w:val="DBE715A6"/>
    <w:rsid w:val="DBEFACC3"/>
    <w:rsid w:val="DBF4A7AA"/>
    <w:rsid w:val="DBFB59F5"/>
    <w:rsid w:val="DCFD339D"/>
    <w:rsid w:val="DDEF5AF0"/>
    <w:rsid w:val="DE7D21AA"/>
    <w:rsid w:val="DEF5B6A6"/>
    <w:rsid w:val="DEFE1FF7"/>
    <w:rsid w:val="DEFF03D1"/>
    <w:rsid w:val="DF3EDE0A"/>
    <w:rsid w:val="DF4CEAB9"/>
    <w:rsid w:val="DF7B26E4"/>
    <w:rsid w:val="DF7FF56C"/>
    <w:rsid w:val="DF9BFF99"/>
    <w:rsid w:val="DFE69CFC"/>
    <w:rsid w:val="DFFC2A32"/>
    <w:rsid w:val="DFFEBAA3"/>
    <w:rsid w:val="E74FFD99"/>
    <w:rsid w:val="E79F8BE3"/>
    <w:rsid w:val="EB968407"/>
    <w:rsid w:val="EBD6AD11"/>
    <w:rsid w:val="EBFC9A2D"/>
    <w:rsid w:val="ECB54C7C"/>
    <w:rsid w:val="ED7FE4DC"/>
    <w:rsid w:val="EDB7E245"/>
    <w:rsid w:val="EDFF2977"/>
    <w:rsid w:val="EECF2FAE"/>
    <w:rsid w:val="EEEF2AF5"/>
    <w:rsid w:val="EEFF2FE7"/>
    <w:rsid w:val="EF0FCB04"/>
    <w:rsid w:val="EF27E388"/>
    <w:rsid w:val="EF3DDAA1"/>
    <w:rsid w:val="EF4F72D8"/>
    <w:rsid w:val="EF7C316F"/>
    <w:rsid w:val="EFAF733C"/>
    <w:rsid w:val="EFAFE200"/>
    <w:rsid w:val="EFBD4363"/>
    <w:rsid w:val="EFDBB2F3"/>
    <w:rsid w:val="EFDF4A93"/>
    <w:rsid w:val="EFF56EDB"/>
    <w:rsid w:val="EFF7C91B"/>
    <w:rsid w:val="EFFD63A3"/>
    <w:rsid w:val="EFFEAD3B"/>
    <w:rsid w:val="EFFEB5B9"/>
    <w:rsid w:val="F1F8DF32"/>
    <w:rsid w:val="F2950019"/>
    <w:rsid w:val="F35D7986"/>
    <w:rsid w:val="F3FBB400"/>
    <w:rsid w:val="F5DAE6DA"/>
    <w:rsid w:val="F5FB8F63"/>
    <w:rsid w:val="F67FF637"/>
    <w:rsid w:val="F6F66FDA"/>
    <w:rsid w:val="F6FDFECF"/>
    <w:rsid w:val="F75FB51A"/>
    <w:rsid w:val="F77A5B33"/>
    <w:rsid w:val="F79F7128"/>
    <w:rsid w:val="F7B5E16A"/>
    <w:rsid w:val="F7E4A304"/>
    <w:rsid w:val="F85F2453"/>
    <w:rsid w:val="F8D683B9"/>
    <w:rsid w:val="F96F55CB"/>
    <w:rsid w:val="F9C4FDDB"/>
    <w:rsid w:val="F9DB3861"/>
    <w:rsid w:val="F9FA3B14"/>
    <w:rsid w:val="FA0C8F76"/>
    <w:rsid w:val="FB77CB5B"/>
    <w:rsid w:val="FBB7BCCB"/>
    <w:rsid w:val="FBD7CE3D"/>
    <w:rsid w:val="FBE7EB3C"/>
    <w:rsid w:val="FBFB9643"/>
    <w:rsid w:val="FBFBA341"/>
    <w:rsid w:val="FBFD534F"/>
    <w:rsid w:val="FCBB42DF"/>
    <w:rsid w:val="FCFE3659"/>
    <w:rsid w:val="FCFF2637"/>
    <w:rsid w:val="FD1F73D8"/>
    <w:rsid w:val="FD7D7C1B"/>
    <w:rsid w:val="FDBDE4BA"/>
    <w:rsid w:val="FDE754BB"/>
    <w:rsid w:val="FDEF2CC5"/>
    <w:rsid w:val="FDF1A43A"/>
    <w:rsid w:val="FDFFE025"/>
    <w:rsid w:val="FE597DB1"/>
    <w:rsid w:val="FE7E0AEF"/>
    <w:rsid w:val="FEBF5449"/>
    <w:rsid w:val="FEDEC5A4"/>
    <w:rsid w:val="FEE78879"/>
    <w:rsid w:val="FEEA4A8F"/>
    <w:rsid w:val="FEEF22EB"/>
    <w:rsid w:val="FEFB14EF"/>
    <w:rsid w:val="FEFC561D"/>
    <w:rsid w:val="FEFFF505"/>
    <w:rsid w:val="FF1F8C08"/>
    <w:rsid w:val="FF5AD5BA"/>
    <w:rsid w:val="FF728EC0"/>
    <w:rsid w:val="FF766EFD"/>
    <w:rsid w:val="FF7B20AD"/>
    <w:rsid w:val="FF9F7512"/>
    <w:rsid w:val="FFAFFD8A"/>
    <w:rsid w:val="FFB79A3B"/>
    <w:rsid w:val="FFBF4D25"/>
    <w:rsid w:val="FFBFB9A9"/>
    <w:rsid w:val="FFDFB528"/>
    <w:rsid w:val="FFE7FD6A"/>
    <w:rsid w:val="FFEEB07F"/>
    <w:rsid w:val="FFEFEF25"/>
    <w:rsid w:val="FFF76AB7"/>
    <w:rsid w:val="FFFF7087"/>
    <w:rsid w:val="FFFF7153"/>
    <w:rsid w:val="FFFF7E3B"/>
    <w:rsid w:val="FFFF8B3F"/>
    <w:rsid w:val="FFFFABF4"/>
    <w:rsid w:val="FFFFE3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 w:val="30"/>
      <w:szCs w:val="21"/>
    </w:r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1"/>
    <w:basedOn w:val="1"/>
    <w:qFormat/>
    <w:uiPriority w:val="0"/>
    <w:pPr>
      <w:spacing w:line="415" w:lineRule="auto"/>
      <w:ind w:firstLine="400"/>
    </w:pPr>
    <w:rPr>
      <w:rFonts w:ascii="宋体" w:hAnsi="宋体" w:eastAsia="宋体" w:cs="宋体"/>
      <w:color w:val="444445"/>
      <w:sz w:val="30"/>
      <w:szCs w:val="30"/>
      <w:lang w:val="zh-TW" w:eastAsia="zh-TW" w:bidi="zh-TW"/>
    </w:rPr>
  </w:style>
  <w:style w:type="paragraph" w:customStyle="1" w:styleId="12">
    <w:name w:val="Header or footer|1"/>
    <w:basedOn w:val="1"/>
    <w:qFormat/>
    <w:uiPriority w:val="0"/>
    <w:rPr>
      <w:sz w:val="26"/>
      <w:szCs w:val="26"/>
      <w:lang w:val="zh-TW" w:eastAsia="zh-TW" w:bidi="zh-TW"/>
    </w:rPr>
  </w:style>
  <w:style w:type="character" w:customStyle="1" w:styleId="13">
    <w:name w:val="font11"/>
    <w:basedOn w:val="10"/>
    <w:qFormat/>
    <w:uiPriority w:val="0"/>
    <w:rPr>
      <w:rFonts w:hint="default" w:ascii="微软雅黑" w:hAnsi="微软雅黑" w:eastAsia="微软雅黑" w:cs="微软雅黑"/>
      <w:color w:val="000000"/>
      <w:sz w:val="36"/>
      <w:szCs w:val="36"/>
      <w:u w:val="none"/>
    </w:rPr>
  </w:style>
  <w:style w:type="character" w:customStyle="1" w:styleId="14">
    <w:name w:val="font51"/>
    <w:basedOn w:val="10"/>
    <w:qFormat/>
    <w:uiPriority w:val="0"/>
    <w:rPr>
      <w:rFonts w:hint="default" w:ascii="微软雅黑" w:hAnsi="微软雅黑" w:eastAsia="微软雅黑" w:cs="微软雅黑"/>
      <w:color w:val="000000"/>
      <w:sz w:val="44"/>
      <w:szCs w:val="44"/>
      <w:u w:val="none"/>
    </w:rPr>
  </w:style>
  <w:style w:type="paragraph" w:customStyle="1" w:styleId="15">
    <w:name w:val="列出段落1"/>
    <w:basedOn w:val="1"/>
    <w:unhideWhenUsed/>
    <w:qFormat/>
    <w:uiPriority w:val="99"/>
    <w:pPr>
      <w:ind w:firstLine="420" w:firstLineChars="200"/>
    </w:pPr>
  </w:style>
  <w:style w:type="paragraph" w:styleId="16">
    <w:name w:val="List Paragraph"/>
    <w:basedOn w:val="1"/>
    <w:unhideWhenUsed/>
    <w:qFormat/>
    <w:uiPriority w:val="34"/>
    <w:pPr>
      <w:ind w:firstLine="420" w:firstLineChars="200"/>
    </w:pPr>
  </w:style>
  <w:style w:type="character" w:customStyle="1" w:styleId="17">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283</Words>
  <Characters>1617</Characters>
  <Lines>13</Lines>
  <Paragraphs>3</Paragraphs>
  <TotalTime>1</TotalTime>
  <ScaleCrop>false</ScaleCrop>
  <LinksUpToDate>false</LinksUpToDate>
  <CharactersWithSpaces>1897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2021-12-27T03:24:00Z</dcterms:created>
  <dc:creator>林波</dc:creator>
  <cp:lastModifiedBy>刘根炜</cp:lastModifiedBy>
  <cp:lastPrinted>2023-03-02T22:51:00Z</cp:lastPrinted>
  <dcterms:modified xsi:type="dcterms:W3CDTF">2023-03-02T09:48:42Z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showFlag">
    <vt:bool>true</vt:bool>
  </property>
  <property fmtid="{D5CDD505-2E9C-101B-9397-08002B2CF9AE}" pid="4" name="userName">
    <vt:lpwstr>刘根炜</vt:lpwstr>
  </property>
</Properties>
</file>